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46C" w:rsidRPr="0067746C" w:rsidRDefault="0067746C" w:rsidP="003A1590">
      <w:pPr>
        <w:autoSpaceDE w:val="0"/>
        <w:autoSpaceDN w:val="0"/>
        <w:adjustRightInd w:val="0"/>
        <w:spacing w:after="0" w:line="360" w:lineRule="auto"/>
        <w:jc w:val="both"/>
        <w:rPr>
          <w:rFonts w:ascii="Times New Roman" w:hAnsi="Times New Roman" w:cs="Times New Roman"/>
          <w:b/>
          <w:color w:val="000000"/>
          <w:sz w:val="24"/>
          <w:szCs w:val="24"/>
          <w:u w:val="single"/>
          <w:lang w:val="it-IT"/>
        </w:rPr>
      </w:pPr>
      <w:r w:rsidRPr="0067746C">
        <w:rPr>
          <w:rFonts w:ascii="Times New Roman" w:hAnsi="Times New Roman" w:cs="Times New Roman"/>
          <w:b/>
          <w:color w:val="000000"/>
          <w:sz w:val="24"/>
          <w:szCs w:val="24"/>
          <w:u w:val="single"/>
          <w:lang w:val="it-IT"/>
        </w:rPr>
        <w:t>ESEMPIO PROPOSTA MOTIVATA COLLEGIO SINDACALE</w:t>
      </w:r>
    </w:p>
    <w:p w:rsidR="000B3D3F" w:rsidRDefault="00E10A02" w:rsidP="003A1590">
      <w:p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Signori </w:t>
      </w:r>
      <w:r w:rsidR="000B3D3F">
        <w:rPr>
          <w:rFonts w:ascii="Times New Roman" w:hAnsi="Times New Roman" w:cs="Times New Roman"/>
          <w:color w:val="000000"/>
          <w:sz w:val="24"/>
          <w:szCs w:val="24"/>
          <w:lang w:val="it-IT"/>
        </w:rPr>
        <w:t xml:space="preserve">Soci, </w:t>
      </w:r>
    </w:p>
    <w:p w:rsidR="00E10A02" w:rsidRDefault="00E10A02" w:rsidP="003A1590">
      <w:p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per effetto dell’entrata in vigore del </w:t>
      </w:r>
      <w:r w:rsidR="003A1590">
        <w:rPr>
          <w:rFonts w:ascii="Times New Roman" w:hAnsi="Times New Roman" w:cs="Times New Roman"/>
          <w:color w:val="000000"/>
          <w:sz w:val="24"/>
          <w:szCs w:val="24"/>
          <w:lang w:val="it-IT"/>
        </w:rPr>
        <w:t>Decreto Legislativo del 27 gennaio 2010</w:t>
      </w:r>
      <w:r w:rsidRPr="00E10A02">
        <w:rPr>
          <w:rFonts w:ascii="Times New Roman" w:hAnsi="Times New Roman" w:cs="Times New Roman"/>
          <w:color w:val="000000"/>
          <w:sz w:val="24"/>
          <w:szCs w:val="24"/>
          <w:lang w:val="it-IT"/>
        </w:rPr>
        <w:t xml:space="preserve"> </w:t>
      </w:r>
      <w:r>
        <w:rPr>
          <w:rFonts w:ascii="Times New Roman" w:hAnsi="Times New Roman" w:cs="Times New Roman"/>
          <w:color w:val="000000"/>
          <w:sz w:val="24"/>
          <w:szCs w:val="24"/>
          <w:lang w:val="it-IT"/>
        </w:rPr>
        <w:t>n. 39</w:t>
      </w:r>
      <w:r w:rsidR="005118CD">
        <w:rPr>
          <w:rFonts w:ascii="Times New Roman" w:hAnsi="Times New Roman" w:cs="Times New Roman"/>
          <w:color w:val="000000"/>
          <w:sz w:val="24"/>
          <w:szCs w:val="24"/>
          <w:lang w:val="it-IT"/>
        </w:rPr>
        <w:t xml:space="preserve"> (il “Decreto”)</w:t>
      </w:r>
      <w:r>
        <w:rPr>
          <w:rFonts w:ascii="Times New Roman" w:hAnsi="Times New Roman" w:cs="Times New Roman"/>
          <w:color w:val="000000"/>
          <w:sz w:val="24"/>
          <w:szCs w:val="24"/>
          <w:lang w:val="it-IT"/>
        </w:rPr>
        <w:t xml:space="preserve">, che recepisce le previsioni della </w:t>
      </w:r>
      <w:r w:rsidR="00C4701F" w:rsidRPr="00D53A34">
        <w:rPr>
          <w:rFonts w:ascii="Times New Roman" w:hAnsi="Times New Roman" w:cs="Times New Roman"/>
          <w:color w:val="000000"/>
          <w:sz w:val="24"/>
          <w:szCs w:val="24"/>
          <w:lang w:val="it-IT"/>
        </w:rPr>
        <w:t>Direttiva 2006/43/CE</w:t>
      </w:r>
      <w:r>
        <w:rPr>
          <w:rFonts w:ascii="Times New Roman" w:hAnsi="Times New Roman" w:cs="Times New Roman"/>
          <w:color w:val="000000"/>
          <w:sz w:val="24"/>
          <w:szCs w:val="24"/>
          <w:lang w:val="it-IT"/>
        </w:rPr>
        <w:t xml:space="preserve"> in tema di revisione legale</w:t>
      </w:r>
      <w:r w:rsidR="00C4701F" w:rsidRPr="00D53A34">
        <w:rPr>
          <w:rFonts w:ascii="Times New Roman" w:hAnsi="Times New Roman" w:cs="Times New Roman"/>
          <w:color w:val="000000"/>
          <w:sz w:val="24"/>
          <w:szCs w:val="24"/>
          <w:lang w:val="it-IT"/>
        </w:rPr>
        <w:t xml:space="preserve"> dei conti</w:t>
      </w:r>
      <w:r>
        <w:rPr>
          <w:rFonts w:ascii="Times New Roman" w:hAnsi="Times New Roman" w:cs="Times New Roman"/>
          <w:color w:val="000000"/>
          <w:sz w:val="24"/>
          <w:szCs w:val="24"/>
          <w:lang w:val="it-IT"/>
        </w:rPr>
        <w:t xml:space="preserve">, il collegio sindacale è chiamato ad esprimere, ai sensi dell’art. 13, una </w:t>
      </w:r>
      <w:commentRangeStart w:id="0"/>
      <w:r>
        <w:rPr>
          <w:rFonts w:ascii="Times New Roman" w:hAnsi="Times New Roman" w:cs="Times New Roman"/>
          <w:color w:val="000000"/>
          <w:sz w:val="24"/>
          <w:szCs w:val="24"/>
          <w:lang w:val="it-IT"/>
        </w:rPr>
        <w:t>proposta motivata</w:t>
      </w:r>
      <w:commentRangeEnd w:id="0"/>
      <w:r w:rsidR="00831983">
        <w:rPr>
          <w:rStyle w:val="CommentReference"/>
        </w:rPr>
        <w:commentReference w:id="0"/>
      </w:r>
      <w:r>
        <w:rPr>
          <w:rFonts w:ascii="Times New Roman" w:hAnsi="Times New Roman" w:cs="Times New Roman"/>
          <w:color w:val="000000"/>
          <w:sz w:val="24"/>
          <w:szCs w:val="24"/>
          <w:lang w:val="it-IT"/>
        </w:rPr>
        <w:t xml:space="preserve"> </w:t>
      </w:r>
      <w:r w:rsidR="005118CD">
        <w:rPr>
          <w:rFonts w:ascii="Times New Roman" w:hAnsi="Times New Roman" w:cs="Times New Roman"/>
          <w:color w:val="000000"/>
          <w:sz w:val="24"/>
          <w:szCs w:val="24"/>
          <w:lang w:val="it-IT"/>
        </w:rPr>
        <w:t xml:space="preserve">(non vincolante) </w:t>
      </w:r>
      <w:r>
        <w:rPr>
          <w:rFonts w:ascii="Times New Roman" w:hAnsi="Times New Roman" w:cs="Times New Roman"/>
          <w:color w:val="000000"/>
          <w:sz w:val="24"/>
          <w:szCs w:val="24"/>
          <w:lang w:val="it-IT"/>
        </w:rPr>
        <w:t>in merito alla nomina dell’incaricato della revisione legali dei conti, che sarà oggetto di delibera assembleare.</w:t>
      </w:r>
    </w:p>
    <w:p w:rsidR="00E10A02" w:rsidRDefault="00BB1F6F" w:rsidP="003A1590">
      <w:pPr>
        <w:autoSpaceDE w:val="0"/>
        <w:autoSpaceDN w:val="0"/>
        <w:adjustRightInd w:val="0"/>
        <w:spacing w:after="0" w:line="360" w:lineRule="auto"/>
        <w:jc w:val="both"/>
        <w:rPr>
          <w:rFonts w:ascii="Times New Roman" w:hAnsi="Times New Roman" w:cs="Times New Roman"/>
          <w:color w:val="000000"/>
          <w:sz w:val="24"/>
          <w:szCs w:val="24"/>
          <w:lang w:val="it-IT"/>
        </w:rPr>
      </w:pPr>
      <w:commentRangeStart w:id="1"/>
      <w:r>
        <w:rPr>
          <w:rFonts w:ascii="Times New Roman" w:hAnsi="Times New Roman" w:cs="Times New Roman"/>
          <w:color w:val="000000"/>
          <w:sz w:val="24"/>
          <w:szCs w:val="24"/>
          <w:lang w:val="it-IT"/>
        </w:rPr>
        <w:t>[</w:t>
      </w:r>
      <w:r w:rsidR="00E10A02">
        <w:rPr>
          <w:rFonts w:ascii="Times New Roman" w:hAnsi="Times New Roman" w:cs="Times New Roman"/>
          <w:color w:val="000000"/>
          <w:sz w:val="24"/>
          <w:szCs w:val="24"/>
          <w:lang w:val="it-IT"/>
        </w:rPr>
        <w:t xml:space="preserve">Premesso che, a causa della novità della </w:t>
      </w:r>
      <w:r w:rsidR="005118CD">
        <w:rPr>
          <w:rFonts w:ascii="Times New Roman" w:hAnsi="Times New Roman" w:cs="Times New Roman"/>
          <w:color w:val="000000"/>
          <w:sz w:val="24"/>
          <w:szCs w:val="24"/>
          <w:lang w:val="it-IT"/>
        </w:rPr>
        <w:t>recente riforma</w:t>
      </w:r>
      <w:r w:rsidR="00E10A02">
        <w:rPr>
          <w:rFonts w:ascii="Times New Roman" w:hAnsi="Times New Roman" w:cs="Times New Roman"/>
          <w:color w:val="000000"/>
          <w:sz w:val="24"/>
          <w:szCs w:val="24"/>
          <w:lang w:val="it-IT"/>
        </w:rPr>
        <w:t xml:space="preserve">, mancano riscontri (dottrinali e/o giurisprudenziali) uniformi, si rileva che, anche sotto la precedente </w:t>
      </w:r>
      <w:r w:rsidR="005118CD">
        <w:rPr>
          <w:rFonts w:ascii="Times New Roman" w:hAnsi="Times New Roman" w:cs="Times New Roman"/>
          <w:color w:val="000000"/>
          <w:sz w:val="24"/>
          <w:szCs w:val="24"/>
          <w:lang w:val="it-IT"/>
        </w:rPr>
        <w:t>disciplina,</w:t>
      </w:r>
      <w:r w:rsidR="00E10A02">
        <w:rPr>
          <w:rFonts w:ascii="Times New Roman" w:hAnsi="Times New Roman" w:cs="Times New Roman"/>
          <w:color w:val="000000"/>
          <w:sz w:val="24"/>
          <w:szCs w:val="24"/>
          <w:lang w:val="it-IT"/>
        </w:rPr>
        <w:t xml:space="preserve"> il </w:t>
      </w:r>
      <w:r w:rsidR="00B95029">
        <w:rPr>
          <w:rFonts w:ascii="Times New Roman" w:hAnsi="Times New Roman" w:cs="Times New Roman"/>
          <w:color w:val="000000"/>
          <w:sz w:val="24"/>
          <w:szCs w:val="24"/>
          <w:lang w:val="it-IT"/>
        </w:rPr>
        <w:t>C</w:t>
      </w:r>
      <w:r w:rsidR="00E10A02">
        <w:rPr>
          <w:rFonts w:ascii="Times New Roman" w:hAnsi="Times New Roman" w:cs="Times New Roman"/>
          <w:color w:val="000000"/>
          <w:sz w:val="24"/>
          <w:szCs w:val="24"/>
          <w:lang w:val="it-IT"/>
        </w:rPr>
        <w:t xml:space="preserve">ollegio </w:t>
      </w:r>
      <w:r w:rsidR="00B95029">
        <w:rPr>
          <w:rFonts w:ascii="Times New Roman" w:hAnsi="Times New Roman" w:cs="Times New Roman"/>
          <w:color w:val="000000"/>
          <w:sz w:val="24"/>
          <w:szCs w:val="24"/>
          <w:lang w:val="it-IT"/>
        </w:rPr>
        <w:t>S</w:t>
      </w:r>
      <w:r w:rsidR="00E10A02">
        <w:rPr>
          <w:rFonts w:ascii="Times New Roman" w:hAnsi="Times New Roman" w:cs="Times New Roman"/>
          <w:color w:val="000000"/>
          <w:sz w:val="24"/>
          <w:szCs w:val="24"/>
          <w:lang w:val="it-IT"/>
        </w:rPr>
        <w:t xml:space="preserve">indacale era </w:t>
      </w:r>
      <w:r w:rsidR="005118CD">
        <w:rPr>
          <w:rFonts w:ascii="Times New Roman" w:hAnsi="Times New Roman" w:cs="Times New Roman"/>
          <w:color w:val="000000"/>
          <w:sz w:val="24"/>
          <w:szCs w:val="24"/>
          <w:lang w:val="it-IT"/>
        </w:rPr>
        <w:t>chiamato</w:t>
      </w:r>
      <w:r w:rsidR="00E10A02">
        <w:rPr>
          <w:rFonts w:ascii="Times New Roman" w:hAnsi="Times New Roman" w:cs="Times New Roman"/>
          <w:color w:val="000000"/>
          <w:sz w:val="24"/>
          <w:szCs w:val="24"/>
          <w:lang w:val="it-IT"/>
        </w:rPr>
        <w:t xml:space="preserve"> ad esprimere il </w:t>
      </w:r>
      <w:r w:rsidR="005118CD">
        <w:rPr>
          <w:rFonts w:ascii="Times New Roman" w:hAnsi="Times New Roman" w:cs="Times New Roman"/>
          <w:color w:val="000000"/>
          <w:sz w:val="24"/>
          <w:szCs w:val="24"/>
          <w:lang w:val="it-IT"/>
        </w:rPr>
        <w:t>proprio</w:t>
      </w:r>
      <w:r w:rsidR="00E10A02">
        <w:rPr>
          <w:rFonts w:ascii="Times New Roman" w:hAnsi="Times New Roman" w:cs="Times New Roman"/>
          <w:color w:val="000000"/>
          <w:sz w:val="24"/>
          <w:szCs w:val="24"/>
          <w:lang w:val="it-IT"/>
        </w:rPr>
        <w:t xml:space="preserve"> </w:t>
      </w:r>
      <w:r w:rsidR="005118CD">
        <w:rPr>
          <w:rFonts w:ascii="Times New Roman" w:hAnsi="Times New Roman" w:cs="Times New Roman"/>
          <w:color w:val="000000"/>
          <w:sz w:val="24"/>
          <w:szCs w:val="24"/>
          <w:lang w:val="it-IT"/>
        </w:rPr>
        <w:t>parere (anch’esso non vincolante) preventivamente alla nomina dell’(allora) inc</w:t>
      </w:r>
      <w:r w:rsidR="00B95029">
        <w:rPr>
          <w:rFonts w:ascii="Times New Roman" w:hAnsi="Times New Roman" w:cs="Times New Roman"/>
          <w:color w:val="000000"/>
          <w:sz w:val="24"/>
          <w:szCs w:val="24"/>
          <w:lang w:val="it-IT"/>
        </w:rPr>
        <w:t>aricato del controllo contabile</w:t>
      </w:r>
      <w:r w:rsidR="005118CD">
        <w:rPr>
          <w:rFonts w:ascii="Times New Roman" w:hAnsi="Times New Roman" w:cs="Times New Roman"/>
          <w:color w:val="000000"/>
          <w:sz w:val="24"/>
          <w:szCs w:val="24"/>
          <w:lang w:val="it-IT"/>
        </w:rPr>
        <w:t xml:space="preserve"> e che pertanto la proposta motivata prevista dal Decreto non si discosta nella sostanza dal parere previsto dall’abrogato art. 2409 ter c.c..</w:t>
      </w:r>
      <w:r>
        <w:rPr>
          <w:rFonts w:ascii="Times New Roman" w:hAnsi="Times New Roman" w:cs="Times New Roman"/>
          <w:color w:val="000000"/>
          <w:sz w:val="24"/>
          <w:szCs w:val="24"/>
          <w:lang w:val="it-IT"/>
        </w:rPr>
        <w:t>]</w:t>
      </w:r>
      <w:commentRangeEnd w:id="1"/>
      <w:r>
        <w:rPr>
          <w:rStyle w:val="CommentReference"/>
        </w:rPr>
        <w:commentReference w:id="1"/>
      </w:r>
    </w:p>
    <w:p w:rsidR="00CA66D4" w:rsidRDefault="00CA66D4" w:rsidP="00CA66D4">
      <w:pPr>
        <w:autoSpaceDE w:val="0"/>
        <w:autoSpaceDN w:val="0"/>
        <w:adjustRightInd w:val="0"/>
        <w:spacing w:after="0" w:line="360" w:lineRule="auto"/>
        <w:jc w:val="both"/>
        <w:rPr>
          <w:rFonts w:ascii="Times New Roman" w:hAnsi="Times New Roman" w:cs="Times New Roman"/>
          <w:color w:val="000000"/>
          <w:sz w:val="24"/>
          <w:szCs w:val="24"/>
          <w:lang w:val="it-IT"/>
        </w:rPr>
      </w:pPr>
      <w:commentRangeStart w:id="2"/>
      <w:r>
        <w:rPr>
          <w:rFonts w:ascii="Times New Roman" w:hAnsi="Times New Roman" w:cs="Times New Roman"/>
          <w:color w:val="000000"/>
          <w:sz w:val="24"/>
          <w:szCs w:val="24"/>
          <w:lang w:val="it-IT"/>
        </w:rPr>
        <w:t>[</w:t>
      </w:r>
      <w:r w:rsidRPr="00CA66D4">
        <w:rPr>
          <w:rFonts w:ascii="Times New Roman" w:hAnsi="Times New Roman" w:cs="Times New Roman"/>
          <w:color w:val="000000"/>
          <w:sz w:val="24"/>
          <w:szCs w:val="24"/>
          <w:lang w:val="it-IT"/>
        </w:rPr>
        <w:t>Ciò premesso</w:t>
      </w:r>
      <w:r>
        <w:rPr>
          <w:rFonts w:ascii="Times New Roman" w:hAnsi="Times New Roman" w:cs="Times New Roman"/>
          <w:color w:val="000000"/>
          <w:sz w:val="24"/>
          <w:szCs w:val="24"/>
          <w:lang w:val="it-IT"/>
        </w:rPr>
        <w:t>,</w:t>
      </w:r>
      <w:r w:rsidRPr="00CA66D4">
        <w:rPr>
          <w:rFonts w:ascii="Times New Roman" w:hAnsi="Times New Roman" w:cs="Times New Roman"/>
          <w:color w:val="000000"/>
          <w:sz w:val="24"/>
          <w:szCs w:val="24"/>
          <w:lang w:val="it-IT"/>
        </w:rPr>
        <w:t xml:space="preserve"> si ricorda che </w:t>
      </w:r>
      <w:r>
        <w:rPr>
          <w:rFonts w:ascii="Times New Roman" w:hAnsi="Times New Roman" w:cs="Times New Roman"/>
          <w:color w:val="000000"/>
          <w:sz w:val="24"/>
          <w:szCs w:val="24"/>
          <w:lang w:val="it-IT"/>
        </w:rPr>
        <w:t xml:space="preserve">nelle more della pubblicazione del Decreto in Gazzetta Ufficiale e della sua entrata in vigore, </w:t>
      </w:r>
      <w:r w:rsidRPr="00CA66D4">
        <w:rPr>
          <w:rFonts w:ascii="Times New Roman" w:hAnsi="Times New Roman" w:cs="Times New Roman"/>
          <w:color w:val="000000"/>
          <w:sz w:val="24"/>
          <w:szCs w:val="24"/>
          <w:lang w:val="it-IT"/>
        </w:rPr>
        <w:t xml:space="preserve">il Consiglio di Amministrazione della Società aveva </w:t>
      </w:r>
      <w:r>
        <w:rPr>
          <w:rFonts w:ascii="Times New Roman" w:hAnsi="Times New Roman" w:cs="Times New Roman"/>
          <w:color w:val="000000"/>
          <w:sz w:val="24"/>
          <w:szCs w:val="24"/>
          <w:lang w:val="it-IT"/>
        </w:rPr>
        <w:t xml:space="preserve">già esaminato </w:t>
      </w:r>
      <w:r w:rsidRPr="00CA66D4">
        <w:rPr>
          <w:rFonts w:ascii="Times New Roman" w:hAnsi="Times New Roman" w:cs="Times New Roman"/>
          <w:color w:val="000000"/>
          <w:sz w:val="24"/>
          <w:szCs w:val="24"/>
          <w:lang w:val="it-IT"/>
        </w:rPr>
        <w:t xml:space="preserve">la proposta di </w:t>
      </w:r>
      <w:r>
        <w:rPr>
          <w:rFonts w:ascii="Times New Roman" w:hAnsi="Times New Roman" w:cs="Times New Roman"/>
          <w:color w:val="000000"/>
          <w:sz w:val="24"/>
          <w:szCs w:val="24"/>
          <w:lang w:val="it-IT"/>
        </w:rPr>
        <w:t xml:space="preserve">controllo contabile presentata dalla </w:t>
      </w:r>
      <w:r w:rsidRPr="00CA66D4">
        <w:rPr>
          <w:rFonts w:ascii="Times New Roman" w:hAnsi="Times New Roman" w:cs="Times New Roman"/>
          <w:color w:val="000000"/>
          <w:sz w:val="24"/>
          <w:szCs w:val="24"/>
          <w:lang w:val="it-IT"/>
        </w:rPr>
        <w:t>società di revisione PricewaterhouseCoopers SpA</w:t>
      </w:r>
      <w:r>
        <w:rPr>
          <w:rFonts w:ascii="Times New Roman" w:hAnsi="Times New Roman" w:cs="Times New Roman"/>
          <w:color w:val="000000"/>
          <w:sz w:val="24"/>
          <w:szCs w:val="24"/>
          <w:lang w:val="it-IT"/>
        </w:rPr>
        <w:t xml:space="preserve"> con proposta del [gg/mm/aaaa] per gli esercizi [201X-201X]</w:t>
      </w:r>
      <w:r w:rsidRPr="00CA66D4">
        <w:rPr>
          <w:rFonts w:ascii="Times New Roman" w:hAnsi="Times New Roman" w:cs="Times New Roman"/>
          <w:color w:val="000000"/>
          <w:sz w:val="24"/>
          <w:szCs w:val="24"/>
          <w:lang w:val="it-IT"/>
        </w:rPr>
        <w:t>.</w:t>
      </w:r>
      <w:r>
        <w:rPr>
          <w:rFonts w:ascii="Times New Roman" w:hAnsi="Times New Roman" w:cs="Times New Roman"/>
          <w:color w:val="000000"/>
          <w:sz w:val="24"/>
          <w:szCs w:val="24"/>
          <w:lang w:val="it-IT"/>
        </w:rPr>
        <w:t>]</w:t>
      </w:r>
      <w:commentRangeEnd w:id="2"/>
      <w:r>
        <w:rPr>
          <w:rStyle w:val="CommentReference"/>
        </w:rPr>
        <w:commentReference w:id="2"/>
      </w:r>
    </w:p>
    <w:p w:rsidR="001D17A2" w:rsidRPr="003F18BE" w:rsidRDefault="001D17A2" w:rsidP="001D17A2">
      <w:pPr>
        <w:autoSpaceDE w:val="0"/>
        <w:autoSpaceDN w:val="0"/>
        <w:adjustRightInd w:val="0"/>
        <w:spacing w:after="0" w:line="360" w:lineRule="auto"/>
        <w:jc w:val="both"/>
        <w:rPr>
          <w:rFonts w:ascii="Times New Roman" w:hAnsi="Times New Roman" w:cs="Times New Roman"/>
          <w:color w:val="000000"/>
          <w:sz w:val="24"/>
          <w:szCs w:val="24"/>
          <w:lang w:val="it-IT"/>
        </w:rPr>
      </w:pPr>
      <w:r w:rsidRPr="003F18BE">
        <w:rPr>
          <w:rFonts w:ascii="Times New Roman" w:hAnsi="Times New Roman" w:cs="Times New Roman"/>
          <w:color w:val="000000"/>
          <w:sz w:val="24"/>
          <w:szCs w:val="24"/>
          <w:lang w:val="it-IT"/>
        </w:rPr>
        <w:t>Per effetto dell’entrata in vigore del Decreto, il Collegio Sindacale[, con l’assistenza delle competenti funzioni della Società,] ha svolto le seguenti attività</w:t>
      </w:r>
      <w:r w:rsidR="009D640C">
        <w:rPr>
          <w:rFonts w:ascii="Times New Roman" w:hAnsi="Times New Roman" w:cs="Times New Roman"/>
          <w:color w:val="000000"/>
          <w:sz w:val="24"/>
          <w:szCs w:val="24"/>
          <w:lang w:val="it-IT"/>
        </w:rPr>
        <w:t xml:space="preserve"> </w:t>
      </w:r>
      <w:r w:rsidR="007D195D">
        <w:rPr>
          <w:rFonts w:ascii="Times New Roman" w:hAnsi="Times New Roman" w:cs="Times New Roman"/>
          <w:color w:val="000000"/>
          <w:sz w:val="24"/>
          <w:szCs w:val="24"/>
          <w:lang w:val="it-IT"/>
        </w:rPr>
        <w:t>istruttorie</w:t>
      </w:r>
      <w:r w:rsidRPr="003F18BE">
        <w:rPr>
          <w:rFonts w:ascii="Times New Roman" w:hAnsi="Times New Roman" w:cs="Times New Roman"/>
          <w:color w:val="000000"/>
          <w:sz w:val="24"/>
          <w:szCs w:val="24"/>
          <w:lang w:val="it-IT"/>
        </w:rPr>
        <w:t>:</w:t>
      </w:r>
    </w:p>
    <w:p w:rsidR="001D17A2" w:rsidRDefault="003F18BE" w:rsidP="007D195D">
      <w:pPr>
        <w:pStyle w:val="ListParagraph"/>
        <w:numPr>
          <w:ilvl w:val="0"/>
          <w:numId w:val="34"/>
        </w:numPr>
        <w:autoSpaceDE w:val="0"/>
        <w:autoSpaceDN w:val="0"/>
        <w:adjustRightInd w:val="0"/>
        <w:spacing w:after="0" w:line="360" w:lineRule="auto"/>
        <w:jc w:val="both"/>
        <w:rPr>
          <w:rFonts w:ascii="Times New Roman" w:hAnsi="Times New Roman" w:cs="Times New Roman"/>
          <w:color w:val="000000"/>
          <w:sz w:val="24"/>
          <w:szCs w:val="24"/>
          <w:lang w:val="it-IT"/>
        </w:rPr>
      </w:pPr>
      <w:commentRangeStart w:id="3"/>
      <w:r w:rsidRPr="003F18BE">
        <w:rPr>
          <w:rFonts w:ascii="Times New Roman" w:hAnsi="Times New Roman" w:cs="Times New Roman"/>
          <w:color w:val="000000"/>
          <w:sz w:val="24"/>
          <w:szCs w:val="24"/>
          <w:lang w:val="it-IT"/>
        </w:rPr>
        <w:t xml:space="preserve">ha acquisito copia delle proposte di incarico di </w:t>
      </w:r>
      <w:r w:rsidR="007F4D3B">
        <w:rPr>
          <w:rFonts w:ascii="Times New Roman" w:hAnsi="Times New Roman" w:cs="Times New Roman"/>
          <w:color w:val="000000"/>
          <w:sz w:val="24"/>
          <w:szCs w:val="24"/>
          <w:lang w:val="it-IT"/>
        </w:rPr>
        <w:t>[</w:t>
      </w:r>
      <w:r w:rsidR="007F4D3B" w:rsidRPr="003F18BE">
        <w:rPr>
          <w:rFonts w:ascii="Times New Roman" w:hAnsi="Times New Roman" w:cs="Times New Roman"/>
          <w:color w:val="000000"/>
          <w:sz w:val="24"/>
          <w:szCs w:val="24"/>
          <w:lang w:val="it-IT"/>
        </w:rPr>
        <w:t>controllo contabile</w:t>
      </w:r>
      <w:r w:rsidR="007F4D3B">
        <w:rPr>
          <w:rFonts w:ascii="Times New Roman" w:hAnsi="Times New Roman" w:cs="Times New Roman"/>
          <w:color w:val="000000"/>
          <w:sz w:val="24"/>
          <w:szCs w:val="24"/>
          <w:lang w:val="it-IT"/>
        </w:rPr>
        <w:t>]</w:t>
      </w:r>
      <w:r w:rsidR="007F4D3B" w:rsidRPr="003F18BE">
        <w:rPr>
          <w:rFonts w:ascii="Times New Roman" w:hAnsi="Times New Roman" w:cs="Times New Roman"/>
          <w:color w:val="000000"/>
          <w:sz w:val="24"/>
          <w:szCs w:val="24"/>
          <w:lang w:val="it-IT"/>
        </w:rPr>
        <w:t xml:space="preserve"> </w:t>
      </w:r>
      <w:r w:rsidR="00B95029">
        <w:rPr>
          <w:rFonts w:ascii="Times New Roman" w:hAnsi="Times New Roman" w:cs="Times New Roman"/>
          <w:color w:val="000000"/>
          <w:sz w:val="24"/>
          <w:szCs w:val="24"/>
          <w:lang w:val="it-IT"/>
        </w:rPr>
        <w:t xml:space="preserve">/ </w:t>
      </w:r>
      <w:r w:rsidR="007F4D3B">
        <w:rPr>
          <w:rFonts w:ascii="Times New Roman" w:hAnsi="Times New Roman" w:cs="Times New Roman"/>
          <w:color w:val="000000"/>
          <w:sz w:val="24"/>
          <w:szCs w:val="24"/>
          <w:lang w:val="it-IT"/>
        </w:rPr>
        <w:t>[di revisione legale] presentate</w:t>
      </w:r>
      <w:r w:rsidRPr="003F18BE">
        <w:rPr>
          <w:rFonts w:ascii="Times New Roman" w:hAnsi="Times New Roman" w:cs="Times New Roman"/>
          <w:color w:val="000000"/>
          <w:sz w:val="24"/>
          <w:szCs w:val="24"/>
          <w:lang w:val="it-IT"/>
        </w:rPr>
        <w:t xml:space="preserve"> </w:t>
      </w:r>
      <w:r w:rsidR="007F4D3B" w:rsidRPr="003F18BE">
        <w:rPr>
          <w:rFonts w:ascii="Times New Roman" w:hAnsi="Times New Roman" w:cs="Times New Roman"/>
          <w:color w:val="000000"/>
          <w:sz w:val="24"/>
          <w:szCs w:val="24"/>
          <w:lang w:val="it-IT"/>
        </w:rPr>
        <w:t>per gli esercizi [201X-201X]</w:t>
      </w:r>
      <w:r w:rsidR="007F4D3B">
        <w:rPr>
          <w:rFonts w:ascii="Times New Roman" w:hAnsi="Times New Roman" w:cs="Times New Roman"/>
          <w:color w:val="000000"/>
          <w:sz w:val="24"/>
          <w:szCs w:val="24"/>
          <w:lang w:val="it-IT"/>
        </w:rPr>
        <w:t xml:space="preserve"> dai seguenti soggetti: </w:t>
      </w:r>
      <w:r w:rsidRPr="003F18BE">
        <w:rPr>
          <w:rFonts w:ascii="Times New Roman" w:hAnsi="Times New Roman" w:cs="Times New Roman"/>
          <w:color w:val="000000"/>
          <w:sz w:val="24"/>
          <w:szCs w:val="24"/>
          <w:lang w:val="it-IT"/>
        </w:rPr>
        <w:t>PricewaterhouseCoopers SpA con lettera del [gg/mm/aaaa]</w:t>
      </w:r>
      <w:r w:rsidR="007F4D3B">
        <w:rPr>
          <w:rFonts w:ascii="Times New Roman" w:hAnsi="Times New Roman" w:cs="Times New Roman"/>
          <w:color w:val="000000"/>
          <w:sz w:val="24"/>
          <w:szCs w:val="24"/>
          <w:lang w:val="it-IT"/>
        </w:rPr>
        <w:t xml:space="preserve"> </w:t>
      </w:r>
      <w:r w:rsidR="00F21666">
        <w:rPr>
          <w:rFonts w:ascii="Times New Roman" w:hAnsi="Times New Roman" w:cs="Times New Roman"/>
          <w:color w:val="000000"/>
          <w:sz w:val="24"/>
          <w:szCs w:val="24"/>
          <w:lang w:val="it-IT"/>
        </w:rPr>
        <w:t xml:space="preserve">[, integrata dalla lettera del </w:t>
      </w:r>
      <w:r w:rsidR="00F21666" w:rsidRPr="003F18BE">
        <w:rPr>
          <w:rFonts w:ascii="Times New Roman" w:hAnsi="Times New Roman" w:cs="Times New Roman"/>
          <w:color w:val="000000"/>
          <w:sz w:val="24"/>
          <w:szCs w:val="24"/>
          <w:lang w:val="it-IT"/>
        </w:rPr>
        <w:t>[gg/mm/aaaa]</w:t>
      </w:r>
      <w:r w:rsidR="00F21666">
        <w:rPr>
          <w:rFonts w:ascii="Times New Roman" w:hAnsi="Times New Roman" w:cs="Times New Roman"/>
          <w:color w:val="000000"/>
          <w:sz w:val="24"/>
          <w:szCs w:val="24"/>
          <w:lang w:val="it-IT"/>
        </w:rPr>
        <w:t xml:space="preserve"> relativa agli effetti dell’entrata in vigore del Decreto], </w:t>
      </w:r>
      <w:r w:rsidR="007F4D3B">
        <w:rPr>
          <w:rFonts w:ascii="Times New Roman" w:hAnsi="Times New Roman" w:cs="Times New Roman"/>
          <w:color w:val="000000"/>
          <w:sz w:val="24"/>
          <w:szCs w:val="24"/>
          <w:lang w:val="it-IT"/>
        </w:rPr>
        <w:t xml:space="preserve">____________ con lettera del </w:t>
      </w:r>
      <w:r w:rsidR="007F4D3B" w:rsidRPr="003F18BE">
        <w:rPr>
          <w:rFonts w:ascii="Times New Roman" w:hAnsi="Times New Roman" w:cs="Times New Roman"/>
          <w:color w:val="000000"/>
          <w:sz w:val="24"/>
          <w:szCs w:val="24"/>
          <w:lang w:val="it-IT"/>
        </w:rPr>
        <w:t>[gg/mm/aaaa]</w:t>
      </w:r>
      <w:r w:rsidR="007F4D3B">
        <w:rPr>
          <w:rFonts w:ascii="Times New Roman" w:hAnsi="Times New Roman" w:cs="Times New Roman"/>
          <w:color w:val="000000"/>
          <w:sz w:val="24"/>
          <w:szCs w:val="24"/>
          <w:lang w:val="it-IT"/>
        </w:rPr>
        <w:t xml:space="preserve">, ____________ con lettera del </w:t>
      </w:r>
      <w:r w:rsidR="007F4D3B" w:rsidRPr="003F18BE">
        <w:rPr>
          <w:rFonts w:ascii="Times New Roman" w:hAnsi="Times New Roman" w:cs="Times New Roman"/>
          <w:color w:val="000000"/>
          <w:sz w:val="24"/>
          <w:szCs w:val="24"/>
          <w:lang w:val="it-IT"/>
        </w:rPr>
        <w:t>[gg/mm/aaaa]</w:t>
      </w:r>
      <w:commentRangeEnd w:id="3"/>
      <w:r w:rsidR="007D195D">
        <w:rPr>
          <w:rStyle w:val="CommentReference"/>
        </w:rPr>
        <w:commentReference w:id="3"/>
      </w:r>
      <w:r w:rsidRPr="003F18BE">
        <w:rPr>
          <w:rFonts w:ascii="Times New Roman" w:hAnsi="Times New Roman" w:cs="Times New Roman"/>
          <w:color w:val="000000"/>
          <w:sz w:val="24"/>
          <w:szCs w:val="24"/>
          <w:lang w:val="it-IT"/>
        </w:rPr>
        <w:t>;</w:t>
      </w:r>
    </w:p>
    <w:p w:rsidR="007F4D3B" w:rsidRDefault="007F4D3B" w:rsidP="007D195D">
      <w:pPr>
        <w:pStyle w:val="ListParagraph"/>
        <w:numPr>
          <w:ilvl w:val="0"/>
          <w:numId w:val="34"/>
        </w:num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ha verificato in capo a PricewaterhouseCoopers SpA, _________, ___________ il possesso dei requisiti di iscrizione per lo svolgimento de</w:t>
      </w:r>
      <w:r w:rsidR="001C1FC8">
        <w:rPr>
          <w:rFonts w:ascii="Times New Roman" w:hAnsi="Times New Roman" w:cs="Times New Roman"/>
          <w:color w:val="000000"/>
          <w:sz w:val="24"/>
          <w:szCs w:val="24"/>
          <w:lang w:val="it-IT"/>
        </w:rPr>
        <w:t>ll’attività di revisione legale</w:t>
      </w:r>
      <w:r w:rsidR="007D195D">
        <w:rPr>
          <w:rFonts w:ascii="Times New Roman" w:hAnsi="Times New Roman" w:cs="Times New Roman"/>
          <w:color w:val="000000"/>
          <w:sz w:val="24"/>
          <w:szCs w:val="24"/>
          <w:lang w:val="it-IT"/>
        </w:rPr>
        <w:t>;</w:t>
      </w:r>
    </w:p>
    <w:p w:rsidR="007F4D3B" w:rsidRDefault="00285B7F" w:rsidP="007D195D">
      <w:pPr>
        <w:pStyle w:val="ListParagraph"/>
        <w:numPr>
          <w:ilvl w:val="0"/>
          <w:numId w:val="34"/>
        </w:num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ha </w:t>
      </w:r>
      <w:r w:rsidR="00577752">
        <w:rPr>
          <w:rFonts w:ascii="Times New Roman" w:hAnsi="Times New Roman" w:cs="Times New Roman"/>
          <w:color w:val="000000"/>
          <w:sz w:val="24"/>
          <w:szCs w:val="24"/>
          <w:lang w:val="it-IT"/>
        </w:rPr>
        <w:t>valutato</w:t>
      </w:r>
      <w:r>
        <w:rPr>
          <w:rFonts w:ascii="Times New Roman" w:hAnsi="Times New Roman" w:cs="Times New Roman"/>
          <w:color w:val="000000"/>
          <w:sz w:val="24"/>
          <w:szCs w:val="24"/>
          <w:lang w:val="it-IT"/>
        </w:rPr>
        <w:t xml:space="preserve">, [attraverso un incontro con il Partner responsabile] / </w:t>
      </w:r>
      <w:r w:rsidR="0094434F">
        <w:rPr>
          <w:rFonts w:ascii="Times New Roman" w:hAnsi="Times New Roman" w:cs="Times New Roman"/>
          <w:color w:val="000000"/>
          <w:sz w:val="24"/>
          <w:szCs w:val="24"/>
          <w:lang w:val="it-IT"/>
        </w:rPr>
        <w:t xml:space="preserve">[attraverso un incontro con il Partner responsabile e con i componenti del team di revisione di maggiore esperienza] / </w:t>
      </w:r>
      <w:r w:rsidR="007D195D">
        <w:rPr>
          <w:rFonts w:ascii="Times New Roman" w:hAnsi="Times New Roman" w:cs="Times New Roman"/>
          <w:color w:val="000000"/>
          <w:sz w:val="24"/>
          <w:szCs w:val="24"/>
          <w:lang w:val="it-IT"/>
        </w:rPr>
        <w:t>[attraverso la predisposizione di questionari, ai quali la società di revisione legale ha risposto]</w:t>
      </w:r>
      <w:r>
        <w:rPr>
          <w:rFonts w:ascii="Times New Roman" w:hAnsi="Times New Roman" w:cs="Times New Roman"/>
          <w:color w:val="000000"/>
          <w:sz w:val="24"/>
          <w:szCs w:val="24"/>
          <w:lang w:val="it-IT"/>
        </w:rPr>
        <w:t xml:space="preserve"> </w:t>
      </w:r>
      <w:r w:rsidR="00B95029">
        <w:rPr>
          <w:rFonts w:ascii="Times New Roman" w:hAnsi="Times New Roman" w:cs="Times New Roman"/>
          <w:color w:val="000000"/>
          <w:sz w:val="24"/>
          <w:szCs w:val="24"/>
          <w:lang w:val="it-IT"/>
        </w:rPr>
        <w:t xml:space="preserve">/ </w:t>
      </w:r>
      <w:commentRangeStart w:id="4"/>
      <w:r w:rsidR="00B95029">
        <w:rPr>
          <w:rFonts w:ascii="Times New Roman" w:hAnsi="Times New Roman" w:cs="Times New Roman"/>
          <w:color w:val="000000"/>
          <w:sz w:val="24"/>
          <w:szCs w:val="24"/>
          <w:lang w:val="it-IT"/>
        </w:rPr>
        <w:t>[</w:t>
      </w:r>
      <w:r w:rsidR="00144429">
        <w:rPr>
          <w:rFonts w:ascii="Times New Roman" w:hAnsi="Times New Roman" w:cs="Times New Roman"/>
          <w:color w:val="000000"/>
          <w:sz w:val="24"/>
          <w:szCs w:val="24"/>
          <w:lang w:val="it-IT"/>
        </w:rPr>
        <w:t>sulla base della considerazione che il gruppo di controllo della Società ha individuato nella rete PricewaterhouseCoopers, di cui è componente la società di revisione legale PricewaterhouseCoopers SpA, l’entità alla quale affidare la revisione del gruppo, con la conseguenza che</w:t>
      </w:r>
      <w:r w:rsidR="00B95029">
        <w:rPr>
          <w:rFonts w:ascii="Times New Roman" w:hAnsi="Times New Roman" w:cs="Times New Roman"/>
          <w:color w:val="000000"/>
          <w:sz w:val="24"/>
          <w:szCs w:val="24"/>
          <w:lang w:val="it-IT"/>
        </w:rPr>
        <w:t xml:space="preserve"> PricewaterhouseCoopers SpA </w:t>
      </w:r>
      <w:r w:rsidR="00144429">
        <w:rPr>
          <w:rFonts w:ascii="Times New Roman" w:hAnsi="Times New Roman" w:cs="Times New Roman"/>
          <w:color w:val="000000"/>
          <w:sz w:val="24"/>
          <w:szCs w:val="24"/>
          <w:lang w:val="it-IT"/>
        </w:rPr>
        <w:t>[</w:t>
      </w:r>
      <w:r w:rsidR="00B95029">
        <w:rPr>
          <w:rFonts w:ascii="Times New Roman" w:hAnsi="Times New Roman" w:cs="Times New Roman"/>
          <w:color w:val="000000"/>
          <w:sz w:val="24"/>
          <w:szCs w:val="24"/>
          <w:lang w:val="it-IT"/>
        </w:rPr>
        <w:t>già svolge</w:t>
      </w:r>
      <w:r w:rsidR="00144429">
        <w:rPr>
          <w:rFonts w:ascii="Times New Roman" w:hAnsi="Times New Roman" w:cs="Times New Roman"/>
          <w:color w:val="000000"/>
          <w:sz w:val="24"/>
          <w:szCs w:val="24"/>
          <w:lang w:val="it-IT"/>
        </w:rPr>
        <w:t xml:space="preserve"> e svolgerà] / [svolgerà]</w:t>
      </w:r>
      <w:r w:rsidR="00B95029">
        <w:rPr>
          <w:rFonts w:ascii="Times New Roman" w:hAnsi="Times New Roman" w:cs="Times New Roman"/>
          <w:color w:val="000000"/>
          <w:sz w:val="24"/>
          <w:szCs w:val="24"/>
          <w:lang w:val="it-IT"/>
        </w:rPr>
        <w:t xml:space="preserve"> l’attività di verifica del bilancio della Società ai fini del suo recepimento nel bilancio consolidato del gruppo di appartenenza (cd. </w:t>
      </w:r>
      <w:r w:rsidR="00B95029">
        <w:rPr>
          <w:rFonts w:ascii="Times New Roman" w:hAnsi="Times New Roman" w:cs="Times New Roman"/>
          <w:i/>
          <w:color w:val="000000"/>
          <w:sz w:val="24"/>
          <w:szCs w:val="24"/>
          <w:lang w:val="it-IT"/>
        </w:rPr>
        <w:t xml:space="preserve">reporting </w:t>
      </w:r>
      <w:r w:rsidR="00B95029" w:rsidRPr="00B95029">
        <w:rPr>
          <w:rFonts w:ascii="Times New Roman" w:hAnsi="Times New Roman" w:cs="Times New Roman"/>
          <w:color w:val="000000"/>
          <w:sz w:val="24"/>
          <w:szCs w:val="24"/>
          <w:lang w:val="it-IT"/>
        </w:rPr>
        <w:t>package</w:t>
      </w:r>
      <w:r w:rsidR="00B95029">
        <w:rPr>
          <w:rFonts w:ascii="Times New Roman" w:hAnsi="Times New Roman" w:cs="Times New Roman"/>
          <w:color w:val="000000"/>
          <w:sz w:val="24"/>
          <w:szCs w:val="24"/>
          <w:lang w:val="it-IT"/>
        </w:rPr>
        <w:t xml:space="preserve">)] </w:t>
      </w:r>
      <w:commentRangeEnd w:id="4"/>
      <w:r w:rsidR="00144429">
        <w:rPr>
          <w:rStyle w:val="CommentReference"/>
        </w:rPr>
        <w:commentReference w:id="4"/>
      </w:r>
      <w:r w:rsidR="00B95029">
        <w:rPr>
          <w:rFonts w:ascii="Times New Roman" w:hAnsi="Times New Roman" w:cs="Times New Roman"/>
          <w:color w:val="000000"/>
          <w:sz w:val="24"/>
          <w:szCs w:val="24"/>
          <w:lang w:val="it-IT"/>
        </w:rPr>
        <w:t xml:space="preserve">/ </w:t>
      </w:r>
      <w:commentRangeStart w:id="5"/>
      <w:r w:rsidR="00B95029">
        <w:rPr>
          <w:rFonts w:ascii="Times New Roman" w:hAnsi="Times New Roman" w:cs="Times New Roman"/>
          <w:color w:val="000000"/>
          <w:sz w:val="24"/>
          <w:szCs w:val="24"/>
          <w:lang w:val="it-IT"/>
        </w:rPr>
        <w:t xml:space="preserve">[sulla base </w:t>
      </w:r>
      <w:r w:rsidR="00B95029">
        <w:rPr>
          <w:rFonts w:ascii="Times New Roman" w:hAnsi="Times New Roman" w:cs="Times New Roman"/>
          <w:color w:val="000000"/>
          <w:sz w:val="24"/>
          <w:szCs w:val="24"/>
          <w:lang w:val="it-IT"/>
        </w:rPr>
        <w:lastRenderedPageBreak/>
        <w:t>della considerazione che il gruppo di controllo della Società ha individuato nella rete PricewaterhouseCoopers, di cui è componente la società di revisione legale PricewaterhouseCoopers SpA, l’entità alla quale affidare la revisione del gruppo</w:t>
      </w:r>
      <w:r w:rsidR="00144429">
        <w:rPr>
          <w:rFonts w:ascii="Times New Roman" w:hAnsi="Times New Roman" w:cs="Times New Roman"/>
          <w:color w:val="000000"/>
          <w:sz w:val="24"/>
          <w:szCs w:val="24"/>
          <w:lang w:val="it-IT"/>
        </w:rPr>
        <w:t xml:space="preserve"> e pertanto la proposta presentata da PricewaterhouseCoopers SpA per la revisione legale dei conti della Società si colloca in tale contesto</w:t>
      </w:r>
      <w:r w:rsidR="00B95029">
        <w:rPr>
          <w:rFonts w:ascii="Times New Roman" w:hAnsi="Times New Roman" w:cs="Times New Roman"/>
          <w:color w:val="000000"/>
          <w:sz w:val="24"/>
          <w:szCs w:val="24"/>
          <w:lang w:val="it-IT"/>
        </w:rPr>
        <w:t xml:space="preserve">] </w:t>
      </w:r>
      <w:commentRangeEnd w:id="5"/>
      <w:r w:rsidR="00144429">
        <w:rPr>
          <w:rStyle w:val="CommentReference"/>
        </w:rPr>
        <w:commentReference w:id="5"/>
      </w:r>
      <w:r w:rsidR="004F7D3C">
        <w:rPr>
          <w:rFonts w:ascii="Times New Roman" w:hAnsi="Times New Roman" w:cs="Times New Roman"/>
          <w:color w:val="000000"/>
          <w:sz w:val="24"/>
          <w:szCs w:val="24"/>
          <w:lang w:val="it-IT"/>
        </w:rPr>
        <w:t xml:space="preserve">/ [sulla base della pregressa conoscenza del Partner responsabile della revisione e dei componenti del team di revisione di maggiore esperienza] </w:t>
      </w:r>
      <w:r w:rsidR="00103C32">
        <w:rPr>
          <w:rFonts w:ascii="Times New Roman" w:hAnsi="Times New Roman" w:cs="Times New Roman"/>
          <w:color w:val="000000"/>
          <w:sz w:val="24"/>
          <w:szCs w:val="24"/>
          <w:lang w:val="it-IT"/>
        </w:rPr>
        <w:t xml:space="preserve">/ [sulla base della pregressa conoscenza del Partner responsabile della revisione e dei componenti del team di revisione di maggiore esperienza, già incaricati del controllo contabile per i precedenti esercizi] / </w:t>
      </w:r>
      <w:r w:rsidR="004F7D3C">
        <w:rPr>
          <w:rFonts w:ascii="Times New Roman" w:hAnsi="Times New Roman" w:cs="Times New Roman"/>
          <w:color w:val="000000"/>
          <w:sz w:val="24"/>
          <w:szCs w:val="24"/>
          <w:lang w:val="it-IT"/>
        </w:rPr>
        <w:t xml:space="preserve">[sulla base delle informazioni assunte presso la società di revisione in tema di competenza del team e di pianificazione e modalità di svolgimento </w:t>
      </w:r>
      <w:r w:rsidR="00103C32">
        <w:rPr>
          <w:rFonts w:ascii="Times New Roman" w:hAnsi="Times New Roman" w:cs="Times New Roman"/>
          <w:color w:val="000000"/>
          <w:sz w:val="24"/>
          <w:szCs w:val="24"/>
          <w:lang w:val="it-IT"/>
        </w:rPr>
        <w:t>dell’</w:t>
      </w:r>
      <w:r w:rsidR="00F23890">
        <w:rPr>
          <w:rFonts w:ascii="Times New Roman" w:hAnsi="Times New Roman" w:cs="Times New Roman"/>
          <w:color w:val="000000"/>
          <w:sz w:val="24"/>
          <w:szCs w:val="24"/>
          <w:lang w:val="it-IT"/>
        </w:rPr>
        <w:t>incarico</w:t>
      </w:r>
      <w:r w:rsidR="00103C32">
        <w:rPr>
          <w:rFonts w:ascii="Times New Roman" w:hAnsi="Times New Roman" w:cs="Times New Roman"/>
          <w:color w:val="000000"/>
          <w:sz w:val="24"/>
          <w:szCs w:val="24"/>
          <w:lang w:val="it-IT"/>
        </w:rPr>
        <w:t xml:space="preserve"> di revisione legale, informazioni che denotano un approccio adeguato alle tematiche del bilancio della Società] per esaminare </w:t>
      </w:r>
      <w:r w:rsidR="007D195D" w:rsidRPr="00B95029">
        <w:rPr>
          <w:rFonts w:ascii="Times New Roman" w:hAnsi="Times New Roman" w:cs="Times New Roman"/>
          <w:color w:val="000000"/>
          <w:sz w:val="24"/>
          <w:szCs w:val="24"/>
          <w:lang w:val="it-IT"/>
        </w:rPr>
        <w:t>le</w:t>
      </w:r>
      <w:r w:rsidR="007D195D">
        <w:rPr>
          <w:rFonts w:ascii="Times New Roman" w:hAnsi="Times New Roman" w:cs="Times New Roman"/>
          <w:color w:val="000000"/>
          <w:sz w:val="24"/>
          <w:szCs w:val="24"/>
          <w:lang w:val="it-IT"/>
        </w:rPr>
        <w:t xml:space="preserve"> capacità </w:t>
      </w:r>
      <w:r w:rsidR="00577752">
        <w:rPr>
          <w:rFonts w:ascii="Times New Roman" w:hAnsi="Times New Roman" w:cs="Times New Roman"/>
          <w:color w:val="000000"/>
          <w:sz w:val="24"/>
          <w:szCs w:val="24"/>
          <w:lang w:val="it-IT"/>
        </w:rPr>
        <w:t>tecnico organizzative</w:t>
      </w:r>
      <w:r w:rsidR="0094434F">
        <w:rPr>
          <w:rFonts w:ascii="Times New Roman" w:hAnsi="Times New Roman" w:cs="Times New Roman"/>
          <w:color w:val="000000"/>
          <w:sz w:val="24"/>
          <w:szCs w:val="24"/>
          <w:lang w:val="it-IT"/>
        </w:rPr>
        <w:t xml:space="preserve"> di PricewaterhouseCoop</w:t>
      </w:r>
      <w:r w:rsidR="001C1FC8">
        <w:rPr>
          <w:rFonts w:ascii="Times New Roman" w:hAnsi="Times New Roman" w:cs="Times New Roman"/>
          <w:color w:val="000000"/>
          <w:sz w:val="24"/>
          <w:szCs w:val="24"/>
          <w:lang w:val="it-IT"/>
        </w:rPr>
        <w:t>ers SpA, __________, __________</w:t>
      </w:r>
      <w:r w:rsidR="007D195D">
        <w:rPr>
          <w:rFonts w:ascii="Times New Roman" w:hAnsi="Times New Roman" w:cs="Times New Roman"/>
          <w:color w:val="000000"/>
          <w:sz w:val="24"/>
          <w:szCs w:val="24"/>
          <w:lang w:val="it-IT"/>
        </w:rPr>
        <w:t>, con particolare riferimento al settore nel quale opera la Società e gli elementi caratteristici della sua attività;</w:t>
      </w:r>
    </w:p>
    <w:p w:rsidR="00494B9A" w:rsidRPr="003F18BE" w:rsidRDefault="00494B9A" w:rsidP="007D195D">
      <w:pPr>
        <w:pStyle w:val="ListParagraph"/>
        <w:numPr>
          <w:ilvl w:val="0"/>
          <w:numId w:val="34"/>
        </w:num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ha acquisito le informazioni e la documentazione relativa alla sussistenza del requisito dell’indipendenza in capo a PricewaterhouseCoop</w:t>
      </w:r>
      <w:r w:rsidR="001C1FC8">
        <w:rPr>
          <w:rFonts w:ascii="Times New Roman" w:hAnsi="Times New Roman" w:cs="Times New Roman"/>
          <w:color w:val="000000"/>
          <w:sz w:val="24"/>
          <w:szCs w:val="24"/>
          <w:lang w:val="it-IT"/>
        </w:rPr>
        <w:t>ers SpA, __________, __________</w:t>
      </w:r>
      <w:r>
        <w:rPr>
          <w:rFonts w:ascii="Times New Roman" w:hAnsi="Times New Roman" w:cs="Times New Roman"/>
          <w:color w:val="000000"/>
          <w:sz w:val="24"/>
          <w:szCs w:val="24"/>
          <w:lang w:val="it-IT"/>
        </w:rPr>
        <w:t xml:space="preserve"> sulla base delle disposizioni attualmente in vigore.</w:t>
      </w:r>
    </w:p>
    <w:p w:rsidR="003F18BE" w:rsidRDefault="00494B9A" w:rsidP="003F18BE">
      <w:p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Sulla base di tali attività, il Collegio Sindacale</w:t>
      </w:r>
      <w:r w:rsidR="007D195D">
        <w:rPr>
          <w:rFonts w:ascii="Times New Roman" w:hAnsi="Times New Roman" w:cs="Times New Roman"/>
          <w:color w:val="000000"/>
          <w:sz w:val="24"/>
          <w:szCs w:val="24"/>
          <w:lang w:val="it-IT"/>
        </w:rPr>
        <w:t xml:space="preserve"> ha raggiunto le seguenti conclusioni</w:t>
      </w:r>
      <w:r>
        <w:rPr>
          <w:rFonts w:ascii="Times New Roman" w:hAnsi="Times New Roman" w:cs="Times New Roman"/>
          <w:color w:val="000000"/>
          <w:sz w:val="24"/>
          <w:szCs w:val="24"/>
          <w:lang w:val="it-IT"/>
        </w:rPr>
        <w:t>:</w:t>
      </w:r>
    </w:p>
    <w:p w:rsidR="00494B9A" w:rsidRPr="007D195D" w:rsidRDefault="007D195D" w:rsidP="007D195D">
      <w:pPr>
        <w:pStyle w:val="ListParagraph"/>
        <w:numPr>
          <w:ilvl w:val="0"/>
          <w:numId w:val="35"/>
        </w:numPr>
        <w:autoSpaceDE w:val="0"/>
        <w:autoSpaceDN w:val="0"/>
        <w:adjustRightInd w:val="0"/>
        <w:spacing w:after="0" w:line="360" w:lineRule="auto"/>
        <w:jc w:val="both"/>
        <w:rPr>
          <w:rFonts w:ascii="Times New Roman" w:hAnsi="Times New Roman" w:cs="Times New Roman"/>
          <w:color w:val="000000"/>
          <w:sz w:val="24"/>
          <w:szCs w:val="24"/>
          <w:lang w:val="it-IT"/>
        </w:rPr>
      </w:pPr>
      <w:r w:rsidRPr="007D195D">
        <w:rPr>
          <w:rFonts w:ascii="Times New Roman" w:hAnsi="Times New Roman" w:cs="Times New Roman"/>
          <w:color w:val="000000"/>
          <w:sz w:val="24"/>
          <w:szCs w:val="24"/>
          <w:lang w:val="it-IT"/>
        </w:rPr>
        <w:t xml:space="preserve">il Collegio Sindacale ha verificato che le proposte contrattuali formulate da PricewaterhouseCoopers SpA, _________ e ________, ad eccezione di quelle formulate da ___________ e _________, che pertanto vengono esclusi dalla </w:t>
      </w:r>
      <w:r w:rsidR="0026745B">
        <w:rPr>
          <w:rFonts w:ascii="Times New Roman" w:hAnsi="Times New Roman" w:cs="Times New Roman"/>
          <w:color w:val="000000"/>
          <w:sz w:val="24"/>
          <w:szCs w:val="24"/>
          <w:lang w:val="it-IT"/>
        </w:rPr>
        <w:t xml:space="preserve">successiva </w:t>
      </w:r>
      <w:r w:rsidRPr="007D195D">
        <w:rPr>
          <w:rFonts w:ascii="Times New Roman" w:hAnsi="Times New Roman" w:cs="Times New Roman"/>
          <w:color w:val="000000"/>
          <w:sz w:val="24"/>
          <w:szCs w:val="24"/>
          <w:lang w:val="it-IT"/>
        </w:rPr>
        <w:t>analisi, sono complete, sono redatte in conformità alle norme di legge ed alla prassi di mercato e rispondono alle esigenze previste dalla nomina dell’incaricato d</w:t>
      </w:r>
      <w:r w:rsidR="001C1FC8">
        <w:rPr>
          <w:rFonts w:ascii="Times New Roman" w:hAnsi="Times New Roman" w:cs="Times New Roman"/>
          <w:color w:val="000000"/>
          <w:sz w:val="24"/>
          <w:szCs w:val="24"/>
          <w:lang w:val="it-IT"/>
        </w:rPr>
        <w:t>ella revisione legale dei conti</w:t>
      </w:r>
      <w:r w:rsidRPr="007D195D">
        <w:rPr>
          <w:rFonts w:ascii="Times New Roman" w:hAnsi="Times New Roman" w:cs="Times New Roman"/>
          <w:color w:val="000000"/>
          <w:sz w:val="24"/>
          <w:szCs w:val="24"/>
          <w:lang w:val="it-IT"/>
        </w:rPr>
        <w:t>;</w:t>
      </w:r>
    </w:p>
    <w:p w:rsidR="00494B9A" w:rsidRDefault="0026745B" w:rsidP="007D195D">
      <w:pPr>
        <w:pStyle w:val="ListParagraph"/>
        <w:numPr>
          <w:ilvl w:val="0"/>
          <w:numId w:val="35"/>
        </w:num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il Collegio Sindacale ha verificato </w:t>
      </w:r>
      <w:r w:rsidR="007D195D" w:rsidRPr="007D195D">
        <w:rPr>
          <w:rFonts w:ascii="Times New Roman" w:hAnsi="Times New Roman" w:cs="Times New Roman"/>
          <w:color w:val="000000"/>
          <w:sz w:val="24"/>
          <w:szCs w:val="24"/>
          <w:lang w:val="it-IT"/>
        </w:rPr>
        <w:t xml:space="preserve">[sulla base della comprovata e notoria esperienza della società di revisione nel settore in cui opera la Società] / [sulla base della comprovata esperienza dimostrata dalla società di revisione nel corso dell’espletamento dell’incarico di controllo contabile nel corso dei precedenti esercizi, come emerso anche nello scambio di informazioni tra la stessa ed il </w:t>
      </w:r>
      <w:r>
        <w:rPr>
          <w:rFonts w:ascii="Times New Roman" w:hAnsi="Times New Roman" w:cs="Times New Roman"/>
          <w:color w:val="000000"/>
          <w:sz w:val="24"/>
          <w:szCs w:val="24"/>
          <w:lang w:val="it-IT"/>
        </w:rPr>
        <w:t>C</w:t>
      </w:r>
      <w:r w:rsidR="007D195D" w:rsidRPr="007D195D">
        <w:rPr>
          <w:rFonts w:ascii="Times New Roman" w:hAnsi="Times New Roman" w:cs="Times New Roman"/>
          <w:color w:val="000000"/>
          <w:sz w:val="24"/>
          <w:szCs w:val="24"/>
          <w:lang w:val="it-IT"/>
        </w:rPr>
        <w:t xml:space="preserve">ollegio </w:t>
      </w:r>
      <w:r>
        <w:rPr>
          <w:rFonts w:ascii="Times New Roman" w:hAnsi="Times New Roman" w:cs="Times New Roman"/>
          <w:color w:val="000000"/>
          <w:sz w:val="24"/>
          <w:szCs w:val="24"/>
          <w:lang w:val="it-IT"/>
        </w:rPr>
        <w:t>S</w:t>
      </w:r>
      <w:r w:rsidR="007D195D" w:rsidRPr="007D195D">
        <w:rPr>
          <w:rFonts w:ascii="Times New Roman" w:hAnsi="Times New Roman" w:cs="Times New Roman"/>
          <w:color w:val="000000"/>
          <w:sz w:val="24"/>
          <w:szCs w:val="24"/>
          <w:lang w:val="it-IT"/>
        </w:rPr>
        <w:t xml:space="preserve">indacale, pur nel rispetto dei rispettivi doveri e competenze] / </w:t>
      </w:r>
      <w:commentRangeStart w:id="6"/>
      <w:r w:rsidR="007D195D" w:rsidRPr="007D195D">
        <w:rPr>
          <w:rFonts w:ascii="Times New Roman" w:hAnsi="Times New Roman" w:cs="Times New Roman"/>
          <w:color w:val="000000"/>
          <w:sz w:val="24"/>
          <w:szCs w:val="24"/>
          <w:lang w:val="it-IT"/>
        </w:rPr>
        <w:t>[attraverso l’analisi (anche comparativa rispetto a situazioni di società analoghe in termini di dimensioni, di attività e di struttura organizzativa) della quantificazione delle ore preventivate in sede di proposta contrattuale dalla società di revisione]</w:t>
      </w:r>
      <w:r w:rsidR="00144429">
        <w:rPr>
          <w:rFonts w:ascii="Times New Roman" w:hAnsi="Times New Roman" w:cs="Times New Roman"/>
          <w:color w:val="000000"/>
          <w:sz w:val="24"/>
          <w:szCs w:val="24"/>
          <w:lang w:val="it-IT"/>
        </w:rPr>
        <w:t xml:space="preserve"> </w:t>
      </w:r>
      <w:commentRangeEnd w:id="6"/>
      <w:r w:rsidR="00103C32">
        <w:rPr>
          <w:rStyle w:val="CommentReference"/>
        </w:rPr>
        <w:commentReference w:id="6"/>
      </w:r>
      <w:r w:rsidR="00144429">
        <w:rPr>
          <w:rFonts w:ascii="Times New Roman" w:hAnsi="Times New Roman" w:cs="Times New Roman"/>
          <w:color w:val="000000"/>
          <w:sz w:val="24"/>
          <w:szCs w:val="24"/>
          <w:lang w:val="it-IT"/>
        </w:rPr>
        <w:t xml:space="preserve">/ [sulla base della considerazione che il gruppo di controllo della Società ha individuato nella rete PricewaterhouseCoopers, di cui è </w:t>
      </w:r>
      <w:r w:rsidR="00144429">
        <w:rPr>
          <w:rFonts w:ascii="Times New Roman" w:hAnsi="Times New Roman" w:cs="Times New Roman"/>
          <w:color w:val="000000"/>
          <w:sz w:val="24"/>
          <w:szCs w:val="24"/>
          <w:lang w:val="it-IT"/>
        </w:rPr>
        <w:lastRenderedPageBreak/>
        <w:t xml:space="preserve">componente la società di revisione legale PricewaterhouseCoopers SpA, l’entità alla quale affidare la revisione del gruppo, con la conseguenza che PricewaterhouseCoopers SpA [già svolge e svolgerà] / [svolgerà] l’attività di verifica del bilancio della Società ai fini del suo recepimento nel bilancio consolidato del gruppo di appartenenza (cd. </w:t>
      </w:r>
      <w:r w:rsidR="00144429">
        <w:rPr>
          <w:rFonts w:ascii="Times New Roman" w:hAnsi="Times New Roman" w:cs="Times New Roman"/>
          <w:i/>
          <w:color w:val="000000"/>
          <w:sz w:val="24"/>
          <w:szCs w:val="24"/>
          <w:lang w:val="it-IT"/>
        </w:rPr>
        <w:t xml:space="preserve">reporting </w:t>
      </w:r>
      <w:r w:rsidR="00144429" w:rsidRPr="00B95029">
        <w:rPr>
          <w:rFonts w:ascii="Times New Roman" w:hAnsi="Times New Roman" w:cs="Times New Roman"/>
          <w:color w:val="000000"/>
          <w:sz w:val="24"/>
          <w:szCs w:val="24"/>
          <w:lang w:val="it-IT"/>
        </w:rPr>
        <w:t>package</w:t>
      </w:r>
      <w:r w:rsidR="00144429">
        <w:rPr>
          <w:rFonts w:ascii="Times New Roman" w:hAnsi="Times New Roman" w:cs="Times New Roman"/>
          <w:color w:val="000000"/>
          <w:sz w:val="24"/>
          <w:szCs w:val="24"/>
          <w:lang w:val="it-IT"/>
        </w:rPr>
        <w:t xml:space="preserve">), </w:t>
      </w:r>
      <w:r w:rsidR="00A34070">
        <w:rPr>
          <w:rFonts w:ascii="Times New Roman" w:hAnsi="Times New Roman" w:cs="Times New Roman"/>
          <w:color w:val="000000"/>
          <w:sz w:val="24"/>
          <w:szCs w:val="24"/>
          <w:lang w:val="it-IT"/>
        </w:rPr>
        <w:t xml:space="preserve">PricewaterhouseCoopers SpA può beneficiare della </w:t>
      </w:r>
      <w:r w:rsidR="00144429">
        <w:rPr>
          <w:rFonts w:ascii="Times New Roman" w:hAnsi="Times New Roman" w:cs="Times New Roman"/>
          <w:color w:val="000000"/>
          <w:sz w:val="24"/>
          <w:szCs w:val="24"/>
          <w:lang w:val="it-IT"/>
        </w:rPr>
        <w:t xml:space="preserve">conoscenza della Società, della sua attività e delle questioni di maggiore rilevanza che contraddistinguono il suo bilancio, </w:t>
      </w:r>
      <w:r w:rsidR="004D5273">
        <w:rPr>
          <w:rFonts w:ascii="Times New Roman" w:hAnsi="Times New Roman" w:cs="Times New Roman"/>
          <w:color w:val="000000"/>
          <w:sz w:val="24"/>
          <w:szCs w:val="24"/>
          <w:lang w:val="it-IT"/>
        </w:rPr>
        <w:t>cosicché</w:t>
      </w:r>
      <w:r w:rsidR="00144429">
        <w:rPr>
          <w:rFonts w:ascii="Times New Roman" w:hAnsi="Times New Roman" w:cs="Times New Roman"/>
          <w:color w:val="000000"/>
          <w:sz w:val="24"/>
          <w:szCs w:val="24"/>
          <w:lang w:val="it-IT"/>
        </w:rPr>
        <w:t xml:space="preserve"> la scelta di PricewaterhouseCoopers SpA quale incaricata della revisione legale dei conti della Società si colloca in un’ottica di maggiore efficacia ed efficienza nello svolgimento di tale attività, considerando che potrà </w:t>
      </w:r>
      <w:r w:rsidR="00A34070">
        <w:rPr>
          <w:rFonts w:ascii="Times New Roman" w:hAnsi="Times New Roman" w:cs="Times New Roman"/>
          <w:color w:val="000000"/>
          <w:sz w:val="24"/>
          <w:szCs w:val="24"/>
          <w:lang w:val="it-IT"/>
        </w:rPr>
        <w:t xml:space="preserve">usufruire </w:t>
      </w:r>
      <w:r w:rsidR="00144429">
        <w:rPr>
          <w:rFonts w:ascii="Times New Roman" w:hAnsi="Times New Roman" w:cs="Times New Roman"/>
          <w:color w:val="000000"/>
          <w:sz w:val="24"/>
          <w:szCs w:val="24"/>
          <w:lang w:val="it-IT"/>
        </w:rPr>
        <w:t>[della pregre</w:t>
      </w:r>
      <w:r w:rsidR="00A34070">
        <w:rPr>
          <w:rFonts w:ascii="Times New Roman" w:hAnsi="Times New Roman" w:cs="Times New Roman"/>
          <w:color w:val="000000"/>
          <w:sz w:val="24"/>
          <w:szCs w:val="24"/>
          <w:lang w:val="it-IT"/>
        </w:rPr>
        <w:t xml:space="preserve">ssa conoscenza della Società e] </w:t>
      </w:r>
      <w:r w:rsidR="00144429">
        <w:rPr>
          <w:rFonts w:ascii="Times New Roman" w:hAnsi="Times New Roman" w:cs="Times New Roman"/>
          <w:color w:val="000000"/>
          <w:sz w:val="24"/>
          <w:szCs w:val="24"/>
          <w:lang w:val="it-IT"/>
        </w:rPr>
        <w:t xml:space="preserve">delle analisi delle questioni tecniche che il network </w:t>
      </w:r>
      <w:r w:rsidR="004D5273">
        <w:rPr>
          <w:rFonts w:ascii="Times New Roman" w:hAnsi="Times New Roman" w:cs="Times New Roman"/>
          <w:color w:val="000000"/>
          <w:sz w:val="24"/>
          <w:szCs w:val="24"/>
          <w:lang w:val="it-IT"/>
        </w:rPr>
        <w:t>PricewaterhouseCoopers</w:t>
      </w:r>
      <w:r w:rsidR="00144429">
        <w:rPr>
          <w:rFonts w:ascii="Times New Roman" w:hAnsi="Times New Roman" w:cs="Times New Roman"/>
          <w:color w:val="000000"/>
          <w:sz w:val="24"/>
          <w:szCs w:val="24"/>
          <w:lang w:val="it-IT"/>
        </w:rPr>
        <w:t>, nello svolgimento dell’</w:t>
      </w:r>
      <w:r w:rsidR="004D5273">
        <w:rPr>
          <w:rFonts w:ascii="Times New Roman" w:hAnsi="Times New Roman" w:cs="Times New Roman"/>
          <w:color w:val="000000"/>
          <w:sz w:val="24"/>
          <w:szCs w:val="24"/>
          <w:lang w:val="it-IT"/>
        </w:rPr>
        <w:t>attività</w:t>
      </w:r>
      <w:r w:rsidR="00144429">
        <w:rPr>
          <w:rFonts w:ascii="Times New Roman" w:hAnsi="Times New Roman" w:cs="Times New Roman"/>
          <w:color w:val="000000"/>
          <w:sz w:val="24"/>
          <w:szCs w:val="24"/>
          <w:lang w:val="it-IT"/>
        </w:rPr>
        <w:t xml:space="preserve"> di revisione del gruppo di </w:t>
      </w:r>
      <w:r w:rsidR="004D5273">
        <w:rPr>
          <w:rFonts w:ascii="Times New Roman" w:hAnsi="Times New Roman" w:cs="Times New Roman"/>
          <w:color w:val="000000"/>
          <w:sz w:val="24"/>
          <w:szCs w:val="24"/>
          <w:lang w:val="it-IT"/>
        </w:rPr>
        <w:t>appartenenza</w:t>
      </w:r>
      <w:r w:rsidR="00144429">
        <w:rPr>
          <w:rFonts w:ascii="Times New Roman" w:hAnsi="Times New Roman" w:cs="Times New Roman"/>
          <w:color w:val="000000"/>
          <w:sz w:val="24"/>
          <w:szCs w:val="24"/>
          <w:lang w:val="it-IT"/>
        </w:rPr>
        <w:t xml:space="preserve"> della Società</w:t>
      </w:r>
      <w:r w:rsidR="00A34070">
        <w:rPr>
          <w:rFonts w:ascii="Times New Roman" w:hAnsi="Times New Roman" w:cs="Times New Roman"/>
          <w:color w:val="000000"/>
          <w:sz w:val="24"/>
          <w:szCs w:val="24"/>
          <w:lang w:val="it-IT"/>
        </w:rPr>
        <w:t>,</w:t>
      </w:r>
      <w:r w:rsidR="00144429">
        <w:rPr>
          <w:rFonts w:ascii="Times New Roman" w:hAnsi="Times New Roman" w:cs="Times New Roman"/>
          <w:color w:val="000000"/>
          <w:sz w:val="24"/>
          <w:szCs w:val="24"/>
          <w:lang w:val="it-IT"/>
        </w:rPr>
        <w:t xml:space="preserve"> potrà realizzare anche sulle tematiche che caratterizzano il bilancio della Società] / [sulla base della considerazione che il gruppo di controllo della Società ha individuato nella rete PricewaterhouseCoopers, di cui è componente la società di revisione legale PricewaterhouseCoopers SpA, l’entità alla quale affidare la revisione del gruppo</w:t>
      </w:r>
      <w:r w:rsidR="00A34070">
        <w:rPr>
          <w:rFonts w:ascii="Times New Roman" w:hAnsi="Times New Roman" w:cs="Times New Roman"/>
          <w:color w:val="000000"/>
          <w:sz w:val="24"/>
          <w:szCs w:val="24"/>
          <w:lang w:val="it-IT"/>
        </w:rPr>
        <w:t xml:space="preserve">, PricewaterhouseCoopers SpA può beneficiare della conoscenza della Società, della sua attività e delle questioni di maggiore rilevanza che contraddistinguono il suo bilancio, </w:t>
      </w:r>
      <w:r w:rsidR="004D5273">
        <w:rPr>
          <w:rFonts w:ascii="Times New Roman" w:hAnsi="Times New Roman" w:cs="Times New Roman"/>
          <w:color w:val="000000"/>
          <w:sz w:val="24"/>
          <w:szCs w:val="24"/>
          <w:lang w:val="it-IT"/>
        </w:rPr>
        <w:t>cosicché</w:t>
      </w:r>
      <w:r w:rsidR="00A34070">
        <w:rPr>
          <w:rFonts w:ascii="Times New Roman" w:hAnsi="Times New Roman" w:cs="Times New Roman"/>
          <w:color w:val="000000"/>
          <w:sz w:val="24"/>
          <w:szCs w:val="24"/>
          <w:lang w:val="it-IT"/>
        </w:rPr>
        <w:t xml:space="preserve"> la scelta di PricewaterhouseCoopers SpA quale incaricata della revisione legale dei conti della Società si colloca in un’ottica di maggiore efficacia ed efficienza nello svolgimento di tale attività, considerando che potrà usufruire [della pregressa conoscenza della Società e] delle analisi delle questioni tecniche che il network </w:t>
      </w:r>
      <w:r w:rsidR="004D5273">
        <w:rPr>
          <w:rFonts w:ascii="Times New Roman" w:hAnsi="Times New Roman" w:cs="Times New Roman"/>
          <w:color w:val="000000"/>
          <w:sz w:val="24"/>
          <w:szCs w:val="24"/>
          <w:lang w:val="it-IT"/>
        </w:rPr>
        <w:t>PricewaterhouseCoopers</w:t>
      </w:r>
      <w:r w:rsidR="00A34070">
        <w:rPr>
          <w:rFonts w:ascii="Times New Roman" w:hAnsi="Times New Roman" w:cs="Times New Roman"/>
          <w:color w:val="000000"/>
          <w:sz w:val="24"/>
          <w:szCs w:val="24"/>
          <w:lang w:val="it-IT"/>
        </w:rPr>
        <w:t>, nello svolgimento dell’</w:t>
      </w:r>
      <w:r w:rsidR="004D5273">
        <w:rPr>
          <w:rFonts w:ascii="Times New Roman" w:hAnsi="Times New Roman" w:cs="Times New Roman"/>
          <w:color w:val="000000"/>
          <w:sz w:val="24"/>
          <w:szCs w:val="24"/>
          <w:lang w:val="it-IT"/>
        </w:rPr>
        <w:t>attività</w:t>
      </w:r>
      <w:r w:rsidR="00A34070">
        <w:rPr>
          <w:rFonts w:ascii="Times New Roman" w:hAnsi="Times New Roman" w:cs="Times New Roman"/>
          <w:color w:val="000000"/>
          <w:sz w:val="24"/>
          <w:szCs w:val="24"/>
          <w:lang w:val="it-IT"/>
        </w:rPr>
        <w:t xml:space="preserve"> di revisione del gruppo di </w:t>
      </w:r>
      <w:r w:rsidR="004D5273">
        <w:rPr>
          <w:rFonts w:ascii="Times New Roman" w:hAnsi="Times New Roman" w:cs="Times New Roman"/>
          <w:color w:val="000000"/>
          <w:sz w:val="24"/>
          <w:szCs w:val="24"/>
          <w:lang w:val="it-IT"/>
        </w:rPr>
        <w:t>appartenenza</w:t>
      </w:r>
      <w:r w:rsidR="00A34070">
        <w:rPr>
          <w:rFonts w:ascii="Times New Roman" w:hAnsi="Times New Roman" w:cs="Times New Roman"/>
          <w:color w:val="000000"/>
          <w:sz w:val="24"/>
          <w:szCs w:val="24"/>
          <w:lang w:val="it-IT"/>
        </w:rPr>
        <w:t xml:space="preserve"> della Società, potrà realizzare anche sulle tematiche che caratterizzano il bilancio della Società</w:t>
      </w:r>
      <w:r w:rsidR="00144429">
        <w:rPr>
          <w:rFonts w:ascii="Times New Roman" w:hAnsi="Times New Roman" w:cs="Times New Roman"/>
          <w:color w:val="000000"/>
          <w:sz w:val="24"/>
          <w:szCs w:val="24"/>
          <w:lang w:val="it-IT"/>
        </w:rPr>
        <w:t>]</w:t>
      </w:r>
      <w:r w:rsidR="007D195D" w:rsidRPr="007D195D">
        <w:rPr>
          <w:rFonts w:ascii="Times New Roman" w:hAnsi="Times New Roman" w:cs="Times New Roman"/>
          <w:color w:val="000000"/>
          <w:sz w:val="24"/>
          <w:szCs w:val="24"/>
          <w:lang w:val="it-IT"/>
        </w:rPr>
        <w:t>,</w:t>
      </w:r>
      <w:r>
        <w:rPr>
          <w:rFonts w:ascii="Times New Roman" w:hAnsi="Times New Roman" w:cs="Times New Roman"/>
          <w:color w:val="000000"/>
          <w:sz w:val="24"/>
          <w:szCs w:val="24"/>
          <w:lang w:val="it-IT"/>
        </w:rPr>
        <w:t xml:space="preserve"> che </w:t>
      </w:r>
      <w:r w:rsidR="0006559D" w:rsidRPr="007D195D">
        <w:rPr>
          <w:rFonts w:ascii="Times New Roman" w:hAnsi="Times New Roman" w:cs="Times New Roman"/>
          <w:color w:val="000000"/>
          <w:sz w:val="24"/>
          <w:szCs w:val="24"/>
          <w:lang w:val="it-IT"/>
        </w:rPr>
        <w:t xml:space="preserve">PricewaterhouseCoopers SpA, _________ e ________, ad eccezione di ___________ e _________, che pertanto vengono esclusi dalla </w:t>
      </w:r>
      <w:r w:rsidR="0006559D">
        <w:rPr>
          <w:rFonts w:ascii="Times New Roman" w:hAnsi="Times New Roman" w:cs="Times New Roman"/>
          <w:color w:val="000000"/>
          <w:sz w:val="24"/>
          <w:szCs w:val="24"/>
          <w:lang w:val="it-IT"/>
        </w:rPr>
        <w:t xml:space="preserve">successiva </w:t>
      </w:r>
      <w:r w:rsidR="0006559D" w:rsidRPr="007D195D">
        <w:rPr>
          <w:rFonts w:ascii="Times New Roman" w:hAnsi="Times New Roman" w:cs="Times New Roman"/>
          <w:color w:val="000000"/>
          <w:sz w:val="24"/>
          <w:szCs w:val="24"/>
          <w:lang w:val="it-IT"/>
        </w:rPr>
        <w:t xml:space="preserve">analisi, </w:t>
      </w:r>
      <w:r w:rsidR="0006559D">
        <w:rPr>
          <w:rFonts w:ascii="Times New Roman" w:hAnsi="Times New Roman" w:cs="Times New Roman"/>
          <w:color w:val="000000"/>
          <w:sz w:val="24"/>
          <w:szCs w:val="24"/>
          <w:lang w:val="it-IT"/>
        </w:rPr>
        <w:t xml:space="preserve">posseggono le capacità tecnico </w:t>
      </w:r>
      <w:r w:rsidR="00C7774C">
        <w:rPr>
          <w:rFonts w:ascii="Times New Roman" w:hAnsi="Times New Roman" w:cs="Times New Roman"/>
          <w:color w:val="000000"/>
          <w:sz w:val="24"/>
          <w:szCs w:val="24"/>
          <w:lang w:val="it-IT"/>
        </w:rPr>
        <w:t>organizzative</w:t>
      </w:r>
      <w:r w:rsidR="0006559D">
        <w:rPr>
          <w:rFonts w:ascii="Times New Roman" w:hAnsi="Times New Roman" w:cs="Times New Roman"/>
          <w:color w:val="000000"/>
          <w:sz w:val="24"/>
          <w:szCs w:val="24"/>
          <w:lang w:val="it-IT"/>
        </w:rPr>
        <w:t xml:space="preserve"> idonee ed adeguate (in termini di conoscenza del mercato e della </w:t>
      </w:r>
      <w:r w:rsidR="00577752">
        <w:rPr>
          <w:rFonts w:ascii="Times New Roman" w:hAnsi="Times New Roman" w:cs="Times New Roman"/>
          <w:color w:val="000000"/>
          <w:sz w:val="24"/>
          <w:szCs w:val="24"/>
          <w:lang w:val="it-IT"/>
        </w:rPr>
        <w:t>Società</w:t>
      </w:r>
      <w:r w:rsidR="0006559D">
        <w:rPr>
          <w:rFonts w:ascii="Times New Roman" w:hAnsi="Times New Roman" w:cs="Times New Roman"/>
          <w:color w:val="000000"/>
          <w:sz w:val="24"/>
          <w:szCs w:val="24"/>
          <w:lang w:val="it-IT"/>
        </w:rPr>
        <w:t xml:space="preserve"> e di esperienza nel settore economico specifico) per lo svolgimento dell’attività di revisione legale dei conti della Società;</w:t>
      </w:r>
    </w:p>
    <w:p w:rsidR="008779B6" w:rsidRPr="007D195D" w:rsidRDefault="008779B6" w:rsidP="007D195D">
      <w:pPr>
        <w:pStyle w:val="ListParagraph"/>
        <w:numPr>
          <w:ilvl w:val="0"/>
          <w:numId w:val="35"/>
        </w:numPr>
        <w:autoSpaceDE w:val="0"/>
        <w:autoSpaceDN w:val="0"/>
        <w:adjustRightInd w:val="0"/>
        <w:spacing w:after="0" w:line="360" w:lineRule="auto"/>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il Collegio Sindacale ha verificato che in capo a </w:t>
      </w:r>
      <w:r w:rsidRPr="007D195D">
        <w:rPr>
          <w:rFonts w:ascii="Times New Roman" w:hAnsi="Times New Roman" w:cs="Times New Roman"/>
          <w:color w:val="000000"/>
          <w:sz w:val="24"/>
          <w:szCs w:val="24"/>
          <w:lang w:val="it-IT"/>
        </w:rPr>
        <w:t xml:space="preserve">PricewaterhouseCoopers SpA, _________ e ________, ad eccezione di </w:t>
      </w:r>
      <w:r>
        <w:rPr>
          <w:rFonts w:ascii="Times New Roman" w:hAnsi="Times New Roman" w:cs="Times New Roman"/>
          <w:color w:val="000000"/>
          <w:sz w:val="24"/>
          <w:szCs w:val="24"/>
          <w:lang w:val="it-IT"/>
        </w:rPr>
        <w:t xml:space="preserve">quelle di </w:t>
      </w:r>
      <w:r w:rsidRPr="007D195D">
        <w:rPr>
          <w:rFonts w:ascii="Times New Roman" w:hAnsi="Times New Roman" w:cs="Times New Roman"/>
          <w:color w:val="000000"/>
          <w:sz w:val="24"/>
          <w:szCs w:val="24"/>
          <w:lang w:val="it-IT"/>
        </w:rPr>
        <w:t xml:space="preserve">___________ e _________, che pertanto vengono esclusi dalla </w:t>
      </w:r>
      <w:r>
        <w:rPr>
          <w:rFonts w:ascii="Times New Roman" w:hAnsi="Times New Roman" w:cs="Times New Roman"/>
          <w:color w:val="000000"/>
          <w:sz w:val="24"/>
          <w:szCs w:val="24"/>
          <w:lang w:val="it-IT"/>
        </w:rPr>
        <w:t xml:space="preserve">successiva </w:t>
      </w:r>
      <w:r w:rsidRPr="007D195D">
        <w:rPr>
          <w:rFonts w:ascii="Times New Roman" w:hAnsi="Times New Roman" w:cs="Times New Roman"/>
          <w:color w:val="000000"/>
          <w:sz w:val="24"/>
          <w:szCs w:val="24"/>
          <w:lang w:val="it-IT"/>
        </w:rPr>
        <w:t>analisi,</w:t>
      </w:r>
      <w:r>
        <w:rPr>
          <w:rFonts w:ascii="Times New Roman" w:hAnsi="Times New Roman" w:cs="Times New Roman"/>
          <w:color w:val="000000"/>
          <w:sz w:val="24"/>
          <w:szCs w:val="24"/>
          <w:lang w:val="it-IT"/>
        </w:rPr>
        <w:t xml:space="preserve"> non </w:t>
      </w:r>
      <w:r w:rsidR="00577752">
        <w:rPr>
          <w:rFonts w:ascii="Times New Roman" w:hAnsi="Times New Roman" w:cs="Times New Roman"/>
          <w:color w:val="000000"/>
          <w:sz w:val="24"/>
          <w:szCs w:val="24"/>
          <w:lang w:val="it-IT"/>
        </w:rPr>
        <w:t>sussistono</w:t>
      </w:r>
      <w:r>
        <w:rPr>
          <w:rFonts w:ascii="Times New Roman" w:hAnsi="Times New Roman" w:cs="Times New Roman"/>
          <w:color w:val="000000"/>
          <w:sz w:val="24"/>
          <w:szCs w:val="24"/>
          <w:lang w:val="it-IT"/>
        </w:rPr>
        <w:t>, sulla base della normativa in vigore, situazioni di incompatibilità o di mancanza di indipendenza.</w:t>
      </w:r>
    </w:p>
    <w:p w:rsidR="00B46622" w:rsidRPr="00B46622" w:rsidRDefault="00577752" w:rsidP="00B46622">
      <w:pPr>
        <w:autoSpaceDE w:val="0"/>
        <w:autoSpaceDN w:val="0"/>
        <w:adjustRightInd w:val="0"/>
        <w:spacing w:after="0" w:line="360" w:lineRule="auto"/>
        <w:jc w:val="both"/>
        <w:rPr>
          <w:rFonts w:ascii="Times New Roman" w:hAnsi="Times New Roman" w:cs="Times New Roman"/>
          <w:color w:val="000000"/>
          <w:sz w:val="24"/>
          <w:szCs w:val="24"/>
          <w:lang w:val="it-IT"/>
        </w:rPr>
      </w:pPr>
      <w:r w:rsidRPr="00B46622">
        <w:rPr>
          <w:rFonts w:ascii="Times New Roman" w:hAnsi="Times New Roman" w:cs="Times New Roman"/>
          <w:color w:val="000000"/>
          <w:sz w:val="24"/>
          <w:szCs w:val="24"/>
          <w:lang w:val="it-IT"/>
        </w:rPr>
        <w:t>Sulla base di quanto sopra, il Collegio Sindacale</w:t>
      </w:r>
      <w:r>
        <w:rPr>
          <w:rFonts w:ascii="Times New Roman" w:hAnsi="Times New Roman" w:cs="Times New Roman"/>
          <w:color w:val="000000"/>
          <w:sz w:val="24"/>
          <w:szCs w:val="24"/>
          <w:lang w:val="it-IT"/>
        </w:rPr>
        <w:t xml:space="preserve"> </w:t>
      </w:r>
      <w:r w:rsidR="007C692E">
        <w:rPr>
          <w:rFonts w:ascii="Times New Roman" w:hAnsi="Times New Roman" w:cs="Times New Roman"/>
          <w:color w:val="000000"/>
          <w:sz w:val="24"/>
          <w:szCs w:val="24"/>
          <w:lang w:val="it-IT"/>
        </w:rPr>
        <w:t xml:space="preserve">valuta che </w:t>
      </w:r>
      <w:r w:rsidRPr="00B46622">
        <w:rPr>
          <w:rFonts w:ascii="Times New Roman" w:hAnsi="Times New Roman" w:cs="Times New Roman"/>
          <w:color w:val="000000"/>
          <w:sz w:val="24"/>
          <w:szCs w:val="24"/>
          <w:lang w:val="it-IT"/>
        </w:rPr>
        <w:t>l’offerta formulata dalla società di revisi</w:t>
      </w:r>
      <w:r>
        <w:rPr>
          <w:rFonts w:ascii="Times New Roman" w:hAnsi="Times New Roman" w:cs="Times New Roman"/>
          <w:color w:val="000000"/>
          <w:sz w:val="24"/>
          <w:szCs w:val="24"/>
          <w:lang w:val="it-IT"/>
        </w:rPr>
        <w:t>one PricewaterhouseC</w:t>
      </w:r>
      <w:r w:rsidR="00F21666">
        <w:rPr>
          <w:rFonts w:ascii="Times New Roman" w:hAnsi="Times New Roman" w:cs="Times New Roman"/>
          <w:color w:val="000000"/>
          <w:sz w:val="24"/>
          <w:szCs w:val="24"/>
          <w:lang w:val="it-IT"/>
        </w:rPr>
        <w:t>oopers SpA in data [gg/mm/aaaa]</w:t>
      </w:r>
      <w:r>
        <w:rPr>
          <w:rFonts w:ascii="Times New Roman" w:hAnsi="Times New Roman" w:cs="Times New Roman"/>
          <w:color w:val="000000"/>
          <w:sz w:val="24"/>
          <w:szCs w:val="24"/>
          <w:lang w:val="it-IT"/>
        </w:rPr>
        <w:t xml:space="preserve"> </w:t>
      </w:r>
      <w:r w:rsidR="00F21666">
        <w:rPr>
          <w:rFonts w:ascii="Times New Roman" w:hAnsi="Times New Roman" w:cs="Times New Roman"/>
          <w:color w:val="000000"/>
          <w:sz w:val="24"/>
          <w:szCs w:val="24"/>
          <w:lang w:val="it-IT"/>
        </w:rPr>
        <w:t xml:space="preserve">[, integrata dalla lettera del </w:t>
      </w:r>
      <w:r w:rsidR="00F21666" w:rsidRPr="003F18BE">
        <w:rPr>
          <w:rFonts w:ascii="Times New Roman" w:hAnsi="Times New Roman" w:cs="Times New Roman"/>
          <w:color w:val="000000"/>
          <w:sz w:val="24"/>
          <w:szCs w:val="24"/>
          <w:lang w:val="it-IT"/>
        </w:rPr>
        <w:lastRenderedPageBreak/>
        <w:t>[gg/mm/aaaa]</w:t>
      </w:r>
      <w:r w:rsidR="00F21666">
        <w:rPr>
          <w:rFonts w:ascii="Times New Roman" w:hAnsi="Times New Roman" w:cs="Times New Roman"/>
          <w:color w:val="000000"/>
          <w:sz w:val="24"/>
          <w:szCs w:val="24"/>
          <w:lang w:val="it-IT"/>
        </w:rPr>
        <w:t xml:space="preserve"> relativa agli effetti dell’entrata in vigore del Decreto]</w:t>
      </w:r>
      <w:r w:rsidR="007C692E">
        <w:rPr>
          <w:rFonts w:ascii="Times New Roman" w:hAnsi="Times New Roman" w:cs="Times New Roman"/>
          <w:color w:val="000000"/>
          <w:sz w:val="24"/>
          <w:szCs w:val="24"/>
          <w:lang w:val="it-IT"/>
        </w:rPr>
        <w:t xml:space="preserve"> è idonea e pertanto </w:t>
      </w:r>
      <w:r>
        <w:rPr>
          <w:rFonts w:ascii="Times New Roman" w:hAnsi="Times New Roman" w:cs="Times New Roman"/>
          <w:color w:val="000000"/>
          <w:sz w:val="24"/>
          <w:szCs w:val="24"/>
          <w:lang w:val="it-IT"/>
        </w:rPr>
        <w:t>viene proposta all’approvazione</w:t>
      </w:r>
      <w:r w:rsidR="00663F3C">
        <w:rPr>
          <w:rFonts w:ascii="Times New Roman" w:hAnsi="Times New Roman" w:cs="Times New Roman"/>
          <w:color w:val="000000"/>
          <w:sz w:val="24"/>
          <w:szCs w:val="24"/>
          <w:lang w:val="it-IT"/>
        </w:rPr>
        <w:t xml:space="preserve"> </w:t>
      </w:r>
      <w:r>
        <w:rPr>
          <w:rFonts w:ascii="Times New Roman" w:hAnsi="Times New Roman" w:cs="Times New Roman"/>
          <w:color w:val="000000"/>
          <w:sz w:val="24"/>
          <w:szCs w:val="24"/>
          <w:lang w:val="it-IT"/>
        </w:rPr>
        <w:t>dell'assemblea</w:t>
      </w:r>
      <w:r w:rsidRPr="00B46622">
        <w:rPr>
          <w:rFonts w:ascii="Times New Roman" w:hAnsi="Times New Roman" w:cs="Times New Roman"/>
          <w:color w:val="000000"/>
          <w:sz w:val="24"/>
          <w:szCs w:val="24"/>
          <w:lang w:val="it-IT"/>
        </w:rPr>
        <w:t xml:space="preserve"> </w:t>
      </w:r>
      <w:r>
        <w:rPr>
          <w:rFonts w:ascii="Times New Roman" w:hAnsi="Times New Roman" w:cs="Times New Roman"/>
          <w:color w:val="000000"/>
          <w:sz w:val="24"/>
          <w:szCs w:val="24"/>
          <w:lang w:val="it-IT"/>
        </w:rPr>
        <w:t>ai sensi dell’art. 13 comma 1 del Decreto.</w:t>
      </w:r>
    </w:p>
    <w:p w:rsidR="00765F03" w:rsidRDefault="00765F03" w:rsidP="00765F03">
      <w:pPr>
        <w:autoSpaceDE w:val="0"/>
        <w:autoSpaceDN w:val="0"/>
        <w:adjustRightInd w:val="0"/>
        <w:spacing w:after="0" w:line="360" w:lineRule="auto"/>
        <w:jc w:val="both"/>
        <w:rPr>
          <w:rFonts w:ascii="Times New Roman" w:hAnsi="Times New Roman" w:cs="Times New Roman"/>
          <w:color w:val="000000"/>
          <w:sz w:val="24"/>
          <w:szCs w:val="24"/>
          <w:lang w:val="it-IT"/>
        </w:rPr>
      </w:pPr>
    </w:p>
    <w:sectPr w:rsidR="00765F03" w:rsidSect="003A1590">
      <w:headerReference w:type="default" r:id="rId9"/>
      <w:pgSz w:w="11906" w:h="16838"/>
      <w:pgMar w:top="1134" w:right="1134" w:bottom="1134" w:left="1134" w:header="544" w:footer="544" w:gutter="34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PriceWaterhouseCoopers Spa" w:date="2010-04-15T17:49:00Z" w:initials="PS">
    <w:p w:rsidR="00F23890" w:rsidRPr="007D195D" w:rsidRDefault="00F23890" w:rsidP="00831983">
      <w:pPr>
        <w:pStyle w:val="CommentText"/>
        <w:rPr>
          <w:sz w:val="22"/>
          <w:szCs w:val="22"/>
          <w:lang w:val="it-IT"/>
        </w:rPr>
      </w:pPr>
      <w:r>
        <w:rPr>
          <w:rStyle w:val="CommentReference"/>
        </w:rPr>
        <w:annotationRef/>
      </w:r>
      <w:r w:rsidRPr="007D195D">
        <w:rPr>
          <w:sz w:val="22"/>
          <w:szCs w:val="22"/>
          <w:lang w:val="it-IT"/>
        </w:rPr>
        <w:t>Il problema di fondo è capire perché il legislatore sia passato dal parere alla proposta del collegio sindacale.</w:t>
      </w:r>
    </w:p>
    <w:p w:rsidR="00F23890" w:rsidRPr="00831983" w:rsidRDefault="00F23890">
      <w:pPr>
        <w:pStyle w:val="CommentText"/>
        <w:rPr>
          <w:sz w:val="22"/>
          <w:szCs w:val="22"/>
          <w:lang w:val="it-IT"/>
        </w:rPr>
      </w:pPr>
      <w:r w:rsidRPr="007D195D">
        <w:rPr>
          <w:sz w:val="22"/>
          <w:szCs w:val="22"/>
          <w:lang w:val="it-IT"/>
        </w:rPr>
        <w:t xml:space="preserve">L’analisi letterale / semantica dei singoli termini non è di aiuto </w:t>
      </w:r>
      <w:r>
        <w:rPr>
          <w:sz w:val="22"/>
          <w:szCs w:val="22"/>
          <w:lang w:val="it-IT"/>
        </w:rPr>
        <w:t xml:space="preserve">determinante </w:t>
      </w:r>
      <w:r w:rsidRPr="007D195D">
        <w:rPr>
          <w:sz w:val="22"/>
          <w:szCs w:val="22"/>
          <w:lang w:val="it-IT"/>
        </w:rPr>
        <w:t>e non si può escludere che siano</w:t>
      </w:r>
      <w:r>
        <w:rPr>
          <w:sz w:val="22"/>
          <w:szCs w:val="22"/>
          <w:lang w:val="it-IT"/>
        </w:rPr>
        <w:t xml:space="preserve"> nella sostanza quasi sinonimi.</w:t>
      </w:r>
    </w:p>
  </w:comment>
  <w:comment w:id="1" w:author="PriceWaterhouseCoopers Spa" w:date="2010-04-15T17:49:00Z" w:initials="PS">
    <w:p w:rsidR="00F23890" w:rsidRPr="007D195D" w:rsidRDefault="00F23890">
      <w:pPr>
        <w:pStyle w:val="CommentText"/>
        <w:rPr>
          <w:sz w:val="22"/>
          <w:szCs w:val="22"/>
          <w:lang w:val="it-IT"/>
        </w:rPr>
      </w:pPr>
      <w:r>
        <w:rPr>
          <w:rStyle w:val="CommentReference"/>
        </w:rPr>
        <w:annotationRef/>
      </w:r>
      <w:r w:rsidRPr="007D195D">
        <w:rPr>
          <w:sz w:val="22"/>
          <w:szCs w:val="22"/>
          <w:lang w:val="it-IT"/>
        </w:rPr>
        <w:t>Questo paragrafo</w:t>
      </w:r>
      <w:r>
        <w:rPr>
          <w:sz w:val="22"/>
          <w:szCs w:val="22"/>
          <w:lang w:val="it-IT"/>
        </w:rPr>
        <w:t>, per i motivi esposti nel precedente commento,</w:t>
      </w:r>
      <w:r w:rsidRPr="007D195D">
        <w:rPr>
          <w:sz w:val="22"/>
          <w:szCs w:val="22"/>
          <w:lang w:val="it-IT"/>
        </w:rPr>
        <w:t xml:space="preserve"> non è necessario, ma potrebbe essere </w:t>
      </w:r>
      <w:r w:rsidR="00F21666">
        <w:rPr>
          <w:sz w:val="22"/>
          <w:szCs w:val="22"/>
          <w:lang w:val="it-IT"/>
        </w:rPr>
        <w:t>aggiunto</w:t>
      </w:r>
      <w:r w:rsidRPr="007D195D">
        <w:rPr>
          <w:sz w:val="22"/>
          <w:szCs w:val="22"/>
          <w:lang w:val="it-IT"/>
        </w:rPr>
        <w:t>.</w:t>
      </w:r>
    </w:p>
    <w:p w:rsidR="00F23890" w:rsidRPr="007D195D" w:rsidRDefault="00F23890">
      <w:pPr>
        <w:pStyle w:val="CommentText"/>
        <w:rPr>
          <w:sz w:val="22"/>
          <w:szCs w:val="22"/>
          <w:lang w:val="it-IT"/>
        </w:rPr>
      </w:pPr>
      <w:r w:rsidRPr="007D195D">
        <w:rPr>
          <w:sz w:val="22"/>
          <w:szCs w:val="22"/>
          <w:lang w:val="it-IT"/>
        </w:rPr>
        <w:t>Occorre comunque rilevare che, se si accogliesse la tesi per cui la (attuale) “proposta” è qualcosa di più oneroso del (vecchio) “parere”, automaticamente si deve imputare anche una maggiore responsabilità al collegio sindacale nello svolgimento di questa specifica attività.</w:t>
      </w:r>
    </w:p>
  </w:comment>
  <w:comment w:id="2" w:author="PriceWaterhouseCoopers Spa" w:date="2010-04-15T17:28:00Z" w:initials="PS">
    <w:p w:rsidR="00F23890" w:rsidRPr="00CA66D4" w:rsidRDefault="00F23890">
      <w:pPr>
        <w:pStyle w:val="CommentText"/>
        <w:rPr>
          <w:lang w:val="it-IT"/>
        </w:rPr>
      </w:pPr>
      <w:r>
        <w:rPr>
          <w:rStyle w:val="CommentReference"/>
        </w:rPr>
        <w:annotationRef/>
      </w:r>
      <w:r w:rsidRPr="00CA66D4">
        <w:rPr>
          <w:lang w:val="it-IT"/>
        </w:rPr>
        <w:t xml:space="preserve">Paragrafo da utilizzare </w:t>
      </w:r>
      <w:r>
        <w:rPr>
          <w:lang w:val="it-IT"/>
        </w:rPr>
        <w:t>a seconda delle circostanze e delle situazioni.</w:t>
      </w:r>
    </w:p>
  </w:comment>
  <w:comment w:id="3" w:author="PriceWaterhouseCoopers Spa" w:date="2010-04-15T17:51:00Z" w:initials="PS">
    <w:p w:rsidR="00F23890" w:rsidRPr="007D195D" w:rsidRDefault="00F23890">
      <w:pPr>
        <w:pStyle w:val="CommentText"/>
        <w:rPr>
          <w:lang w:val="it-IT"/>
        </w:rPr>
      </w:pPr>
      <w:r>
        <w:rPr>
          <w:rStyle w:val="CommentReference"/>
        </w:rPr>
        <w:annotationRef/>
      </w:r>
      <w:r>
        <w:rPr>
          <w:lang w:val="it-IT"/>
        </w:rPr>
        <w:t>Si consideri</w:t>
      </w:r>
      <w:r w:rsidR="001C1FC8">
        <w:rPr>
          <w:lang w:val="it-IT"/>
        </w:rPr>
        <w:t xml:space="preserve">, per completezza, </w:t>
      </w:r>
      <w:r>
        <w:rPr>
          <w:lang w:val="it-IT"/>
        </w:rPr>
        <w:t>che tale</w:t>
      </w:r>
      <w:r w:rsidR="001C1FC8">
        <w:rPr>
          <w:lang w:val="it-IT"/>
        </w:rPr>
        <w:t xml:space="preserve"> fase comparativa non è prevista</w:t>
      </w:r>
      <w:r>
        <w:rPr>
          <w:lang w:val="it-IT"/>
        </w:rPr>
        <w:t xml:space="preserve"> come elemento necessario dalla normativa.</w:t>
      </w:r>
    </w:p>
  </w:comment>
  <w:comment w:id="4" w:author="PriceWaterhouseCoopers Spa" w:date="2010-04-15T17:28:00Z" w:initials="PS">
    <w:p w:rsidR="00F23890" w:rsidRPr="00144429" w:rsidRDefault="00F23890">
      <w:pPr>
        <w:pStyle w:val="CommentText"/>
        <w:rPr>
          <w:lang w:val="it-IT"/>
        </w:rPr>
      </w:pPr>
      <w:r>
        <w:rPr>
          <w:rStyle w:val="CommentReference"/>
        </w:rPr>
        <w:annotationRef/>
      </w:r>
      <w:r w:rsidRPr="00144429">
        <w:rPr>
          <w:lang w:val="it-IT"/>
        </w:rPr>
        <w:t>Questa ipotesi prende in considerazione il caso in cui, essendo PwC a livello mondiale il revisore di gruppo, PwC SpA sia anche incaricata del reporting package.</w:t>
      </w:r>
    </w:p>
  </w:comment>
  <w:comment w:id="5" w:author="PriceWaterhouseCoopers Spa" w:date="2010-04-15T17:28:00Z" w:initials="PS">
    <w:p w:rsidR="00F23890" w:rsidRPr="00144429" w:rsidRDefault="00F23890">
      <w:pPr>
        <w:pStyle w:val="CommentText"/>
        <w:rPr>
          <w:lang w:val="it-IT"/>
        </w:rPr>
      </w:pPr>
      <w:r>
        <w:rPr>
          <w:rStyle w:val="CommentReference"/>
        </w:rPr>
        <w:annotationRef/>
      </w:r>
      <w:r w:rsidRPr="00144429">
        <w:rPr>
          <w:lang w:val="it-IT"/>
        </w:rPr>
        <w:t xml:space="preserve">Questa ipotesi è simile alla precedente e si differisce solo per il fatto che </w:t>
      </w:r>
      <w:r>
        <w:rPr>
          <w:lang w:val="it-IT"/>
        </w:rPr>
        <w:t>PwC SpA non viene specificamente incaricata del reporting package.</w:t>
      </w:r>
    </w:p>
  </w:comment>
  <w:comment w:id="6" w:author="PriceWaterhouseCoopers Spa" w:date="2010-04-15T17:28:00Z" w:initials="PS">
    <w:p w:rsidR="00F23890" w:rsidRDefault="00F23890" w:rsidP="00103C32">
      <w:pPr>
        <w:pStyle w:val="CommentText"/>
        <w:rPr>
          <w:lang w:val="it-IT"/>
        </w:rPr>
      </w:pPr>
      <w:r>
        <w:rPr>
          <w:rStyle w:val="CommentReference"/>
        </w:rPr>
        <w:annotationRef/>
      </w:r>
      <w:r>
        <w:rPr>
          <w:lang w:val="it-IT"/>
        </w:rPr>
        <w:t>Questo passaggio potrebbe essere considerato come non strettamente necessario.</w:t>
      </w:r>
    </w:p>
    <w:p w:rsidR="00F23890" w:rsidRDefault="00F23890" w:rsidP="00103C32">
      <w:pPr>
        <w:pStyle w:val="CommentText"/>
        <w:rPr>
          <w:lang w:val="it-IT"/>
        </w:rPr>
      </w:pPr>
      <w:r>
        <w:rPr>
          <w:lang w:val="it-IT"/>
        </w:rPr>
        <w:t>L</w:t>
      </w:r>
      <w:r>
        <w:rPr>
          <w:rStyle w:val="CommentReference"/>
        </w:rPr>
        <w:annotationRef/>
      </w:r>
      <w:r w:rsidRPr="00197E64">
        <w:rPr>
          <w:lang w:val="it-IT"/>
        </w:rPr>
        <w:t xml:space="preserve">a normativa </w:t>
      </w:r>
      <w:r>
        <w:rPr>
          <w:lang w:val="it-IT"/>
        </w:rPr>
        <w:t xml:space="preserve">infatti non prevede in modo </w:t>
      </w:r>
      <w:r w:rsidRPr="00197E64">
        <w:rPr>
          <w:lang w:val="it-IT"/>
        </w:rPr>
        <w:t>esplicito la valutazione, da parte del collegio sindacale, della componente economica della proposta del revisore.</w:t>
      </w:r>
    </w:p>
    <w:p w:rsidR="00F23890" w:rsidRDefault="00F23890" w:rsidP="00103C32">
      <w:pPr>
        <w:pStyle w:val="CommentText"/>
        <w:rPr>
          <w:lang w:val="it-IT"/>
        </w:rPr>
      </w:pPr>
      <w:r>
        <w:rPr>
          <w:lang w:val="it-IT"/>
        </w:rPr>
        <w:t>Occorre aggiungere che, ai sensi dell’art. 10 del Decreto, il corrispettivo del revisore “</w:t>
      </w:r>
      <w:r>
        <w:rPr>
          <w:i/>
          <w:lang w:val="it-IT"/>
        </w:rPr>
        <w:t xml:space="preserve">è determinato in modo da garantire la qualità e l’affidabilità dei </w:t>
      </w:r>
      <w:r w:rsidRPr="008779B6">
        <w:rPr>
          <w:lang w:val="it-IT"/>
        </w:rPr>
        <w:t>lavori</w:t>
      </w:r>
      <w:r>
        <w:rPr>
          <w:lang w:val="it-IT"/>
        </w:rPr>
        <w:t xml:space="preserve">” e, </w:t>
      </w:r>
      <w:r w:rsidRPr="008779B6">
        <w:rPr>
          <w:lang w:val="it-IT"/>
        </w:rPr>
        <w:t>ai</w:t>
      </w:r>
      <w:r>
        <w:rPr>
          <w:lang w:val="it-IT"/>
        </w:rPr>
        <w:t xml:space="preserve"> sensi dell’art. 145 bis del Regolamento Emittenti, “</w:t>
      </w:r>
      <w:r>
        <w:rPr>
          <w:i/>
          <w:lang w:val="it-IT"/>
        </w:rPr>
        <w:t>in modo da garantire la qualità e l’affidabilità dei lavori, nonché l’indipendenza del revisore</w:t>
      </w:r>
      <w:r>
        <w:rPr>
          <w:lang w:val="it-IT"/>
        </w:rPr>
        <w:t>”.</w:t>
      </w:r>
    </w:p>
    <w:p w:rsidR="00F23890" w:rsidRDefault="00F23890" w:rsidP="00103C32">
      <w:pPr>
        <w:pStyle w:val="CommentText"/>
        <w:rPr>
          <w:lang w:val="it-IT"/>
        </w:rPr>
      </w:pPr>
      <w:r>
        <w:rPr>
          <w:lang w:val="it-IT"/>
        </w:rPr>
        <w:t>Pertanto viene riconosciuto un legame diretto e proporzionale tra ammontare del compenso e qualità del lavoro, che – in fondo – dovrebbe essere l’obiettivo ultimo di tutti i presidi normativi posti in essere nel processo di nomina del revisore.</w:t>
      </w:r>
    </w:p>
    <w:p w:rsidR="00F23890" w:rsidRDefault="00F23890" w:rsidP="00103C32">
      <w:pPr>
        <w:pStyle w:val="CommentText"/>
        <w:rPr>
          <w:lang w:val="it-IT"/>
        </w:rPr>
      </w:pPr>
      <w:r>
        <w:rPr>
          <w:lang w:val="it-IT"/>
        </w:rPr>
        <w:t>Ne consegue che un approccio del collegio sindacale basato solamente o principalmente sulla componente economica della proposta del revisore, a maggior ragione in presenza di offerte “anomale per eccesso di ribasso” rispetto ad altre proposte, è censurabile e potrebbe essere un elemento di valutazione ai fini della responsabilità del collegio sindacale.</w:t>
      </w:r>
    </w:p>
    <w:p w:rsidR="00F23890" w:rsidRPr="00103C32" w:rsidRDefault="00F23890">
      <w:pPr>
        <w:pStyle w:val="CommentText"/>
        <w:rPr>
          <w:lang w:val="it-IT"/>
        </w:rPr>
      </w:pPr>
      <w:r w:rsidRPr="00B46622">
        <w:rPr>
          <w:lang w:val="it-IT"/>
        </w:rPr>
        <w:t>La dottrina non identifica come compito specifico del collegio sindacale, in sede di proposta</w:t>
      </w:r>
      <w:r w:rsidRPr="00B46622">
        <w:rPr>
          <w:rFonts w:cstheme="minorHAnsi"/>
          <w:lang w:val="it-IT"/>
        </w:rPr>
        <w:t xml:space="preserve"> della società di revisione da nominare, la valutazione della componente </w:t>
      </w:r>
      <w:r w:rsidRPr="00B46622">
        <w:rPr>
          <w:rFonts w:cstheme="minorHAnsi"/>
          <w:color w:val="auto"/>
          <w:lang w:val="it-IT"/>
        </w:rPr>
        <w:t xml:space="preserve">economica (tale aspetto non viene infatti citato nei più recenti testi, quali: Balzarini, </w:t>
      </w:r>
      <w:r w:rsidRPr="00B46622">
        <w:rPr>
          <w:rFonts w:cstheme="minorHAnsi"/>
          <w:i/>
          <w:color w:val="auto"/>
          <w:lang w:val="it-IT"/>
        </w:rPr>
        <w:t>Commento sub art. 159, TUF</w:t>
      </w:r>
      <w:r w:rsidRPr="00B46622">
        <w:rPr>
          <w:rFonts w:cstheme="minorHAnsi"/>
          <w:color w:val="auto"/>
          <w:lang w:val="it-IT"/>
        </w:rPr>
        <w:t xml:space="preserve">, in </w:t>
      </w:r>
      <w:r w:rsidRPr="00B46622">
        <w:rPr>
          <w:rFonts w:cstheme="minorHAnsi"/>
          <w:i/>
          <w:color w:val="auto"/>
          <w:lang w:val="it-IT"/>
        </w:rPr>
        <w:t>Commentario delle società</w:t>
      </w:r>
      <w:r w:rsidRPr="00B46622">
        <w:rPr>
          <w:rFonts w:cstheme="minorHAnsi"/>
          <w:color w:val="auto"/>
          <w:lang w:val="it-IT"/>
        </w:rPr>
        <w:t>, a cura di GRIPPO, Milano 2009; Sasso,</w:t>
      </w:r>
      <w:r w:rsidRPr="00B46622">
        <w:rPr>
          <w:rFonts w:cstheme="minorHAnsi"/>
          <w:i/>
          <w:color w:val="auto"/>
          <w:lang w:val="it-IT"/>
        </w:rPr>
        <w:t xml:space="preserve"> Commento sub art. 2409-quater, c.c., </w:t>
      </w:r>
      <w:r w:rsidRPr="00B46622">
        <w:rPr>
          <w:rFonts w:cstheme="minorHAnsi"/>
          <w:color w:val="auto"/>
          <w:lang w:val="it-IT"/>
        </w:rPr>
        <w:t>in</w:t>
      </w:r>
      <w:r w:rsidRPr="00B46622">
        <w:rPr>
          <w:rFonts w:cstheme="minorHAnsi"/>
          <w:i/>
          <w:color w:val="auto"/>
          <w:lang w:val="it-IT"/>
        </w:rPr>
        <w:t xml:space="preserve"> Commentario breve al diritto delle società, </w:t>
      </w:r>
      <w:r w:rsidRPr="00B46622">
        <w:rPr>
          <w:rFonts w:cstheme="minorHAnsi"/>
          <w:color w:val="auto"/>
          <w:lang w:val="it-IT"/>
        </w:rPr>
        <w:t>a cura di</w:t>
      </w:r>
      <w:r w:rsidRPr="00B46622">
        <w:rPr>
          <w:rFonts w:cstheme="minorHAnsi"/>
          <w:i/>
          <w:color w:val="auto"/>
          <w:lang w:val="it-IT"/>
        </w:rPr>
        <w:t xml:space="preserve"> </w:t>
      </w:r>
      <w:r w:rsidRPr="00B46622">
        <w:rPr>
          <w:rFonts w:cstheme="minorHAnsi"/>
          <w:color w:val="auto"/>
          <w:lang w:val="it-IT"/>
        </w:rPr>
        <w:t xml:space="preserve">MAFFEI ALBERTI, Padova 2007; Maggiolino, </w:t>
      </w:r>
      <w:r w:rsidRPr="00B46622">
        <w:rPr>
          <w:rFonts w:cstheme="minorHAnsi"/>
          <w:i/>
          <w:color w:val="auto"/>
          <w:lang w:val="it-IT"/>
        </w:rPr>
        <w:t>Commento sub art. 2409-quater, c.c.</w:t>
      </w:r>
      <w:r w:rsidRPr="00B46622">
        <w:rPr>
          <w:rFonts w:cstheme="minorHAnsi"/>
          <w:color w:val="auto"/>
          <w:lang w:val="it-IT"/>
        </w:rPr>
        <w:t xml:space="preserve">, in </w:t>
      </w:r>
      <w:r w:rsidRPr="00B46622">
        <w:rPr>
          <w:rFonts w:cstheme="minorHAnsi"/>
          <w:i/>
          <w:color w:val="auto"/>
          <w:lang w:val="it-IT"/>
        </w:rPr>
        <w:t>Commentario alla riforma delle società</w:t>
      </w:r>
      <w:r w:rsidRPr="00B46622">
        <w:rPr>
          <w:rFonts w:cstheme="minorHAnsi"/>
          <w:color w:val="auto"/>
          <w:lang w:val="it-IT"/>
        </w:rPr>
        <w:t>, a cura di GHEZZI, Milano 2005</w:t>
      </w:r>
      <w:r w:rsidRPr="00B46622">
        <w:rPr>
          <w:rFonts w:cstheme="minorHAnsi"/>
          <w:i/>
          <w:color w:val="auto"/>
          <w:lang w:val="it-IT"/>
        </w:rP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DB5" w:rsidRDefault="009F0DB5" w:rsidP="00436A45">
      <w:pPr>
        <w:spacing w:after="0" w:line="240" w:lineRule="auto"/>
      </w:pPr>
      <w:r>
        <w:separator/>
      </w:r>
    </w:p>
  </w:endnote>
  <w:endnote w:type="continuationSeparator" w:id="0">
    <w:p w:rsidR="009F0DB5" w:rsidRDefault="009F0DB5" w:rsidP="00436A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imHei">
    <w:altName w:val="黑体"/>
    <w:panose1 w:val="02010600030101010101"/>
    <w:charset w:val="86"/>
    <w:family w:val="modern"/>
    <w:notTrueType/>
    <w:pitch w:val="fixed"/>
    <w:sig w:usb0="00000001" w:usb1="080E0000" w:usb2="00000010" w:usb3="00000000" w:csb0="00040000" w:csb1="00000000"/>
  </w:font>
  <w:font w:name="PwC_Logo">
    <w:panose1 w:val="050004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DB5" w:rsidRDefault="009F0DB5" w:rsidP="00436A45">
      <w:pPr>
        <w:spacing w:after="0" w:line="240" w:lineRule="auto"/>
      </w:pPr>
      <w:r>
        <w:separator/>
      </w:r>
    </w:p>
  </w:footnote>
  <w:footnote w:type="continuationSeparator" w:id="0">
    <w:p w:rsidR="009F0DB5" w:rsidRDefault="009F0DB5" w:rsidP="00436A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890" w:rsidRDefault="00F2389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544DDE4"/>
    <w:lvl w:ilvl="0">
      <w:start w:val="1"/>
      <w:numFmt w:val="decimal"/>
      <w:lvlText w:val="%1."/>
      <w:lvlJc w:val="left"/>
      <w:pPr>
        <w:tabs>
          <w:tab w:val="num" w:pos="1492"/>
        </w:tabs>
        <w:ind w:left="1492" w:hanging="360"/>
      </w:pPr>
    </w:lvl>
  </w:abstractNum>
  <w:abstractNum w:abstractNumId="1">
    <w:nsid w:val="FFFFFF7D"/>
    <w:multiLevelType w:val="singleLevel"/>
    <w:tmpl w:val="CE9A8ADC"/>
    <w:lvl w:ilvl="0">
      <w:start w:val="1"/>
      <w:numFmt w:val="decimal"/>
      <w:lvlText w:val="%1."/>
      <w:lvlJc w:val="left"/>
      <w:pPr>
        <w:tabs>
          <w:tab w:val="num" w:pos="1209"/>
        </w:tabs>
        <w:ind w:left="1209" w:hanging="360"/>
      </w:pPr>
    </w:lvl>
  </w:abstractNum>
  <w:abstractNum w:abstractNumId="2">
    <w:nsid w:val="FFFFFF7E"/>
    <w:multiLevelType w:val="singleLevel"/>
    <w:tmpl w:val="5FC8F238"/>
    <w:lvl w:ilvl="0">
      <w:start w:val="1"/>
      <w:numFmt w:val="decimal"/>
      <w:lvlText w:val="%1."/>
      <w:lvlJc w:val="left"/>
      <w:pPr>
        <w:tabs>
          <w:tab w:val="num" w:pos="926"/>
        </w:tabs>
        <w:ind w:left="926" w:hanging="360"/>
      </w:pPr>
    </w:lvl>
  </w:abstractNum>
  <w:abstractNum w:abstractNumId="3">
    <w:nsid w:val="FFFFFF7F"/>
    <w:multiLevelType w:val="singleLevel"/>
    <w:tmpl w:val="F6BC28A4"/>
    <w:lvl w:ilvl="0">
      <w:start w:val="1"/>
      <w:numFmt w:val="decimal"/>
      <w:lvlText w:val="%1."/>
      <w:lvlJc w:val="left"/>
      <w:pPr>
        <w:tabs>
          <w:tab w:val="num" w:pos="643"/>
        </w:tabs>
        <w:ind w:left="643" w:hanging="360"/>
      </w:pPr>
    </w:lvl>
  </w:abstractNum>
  <w:abstractNum w:abstractNumId="4">
    <w:nsid w:val="FFFFFF80"/>
    <w:multiLevelType w:val="singleLevel"/>
    <w:tmpl w:val="57E2DF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4CA6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436FF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A87A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0F1BA"/>
    <w:lvl w:ilvl="0">
      <w:start w:val="1"/>
      <w:numFmt w:val="decimal"/>
      <w:lvlText w:val="%1."/>
      <w:lvlJc w:val="left"/>
      <w:pPr>
        <w:tabs>
          <w:tab w:val="num" w:pos="360"/>
        </w:tabs>
        <w:ind w:left="360" w:hanging="360"/>
      </w:pPr>
    </w:lvl>
  </w:abstractNum>
  <w:abstractNum w:abstractNumId="9">
    <w:nsid w:val="FFFFFF89"/>
    <w:multiLevelType w:val="singleLevel"/>
    <w:tmpl w:val="DD3CE9A4"/>
    <w:lvl w:ilvl="0">
      <w:start w:val="1"/>
      <w:numFmt w:val="bullet"/>
      <w:lvlText w:val=""/>
      <w:lvlJc w:val="left"/>
      <w:pPr>
        <w:tabs>
          <w:tab w:val="num" w:pos="360"/>
        </w:tabs>
        <w:ind w:left="360" w:hanging="360"/>
      </w:pPr>
      <w:rPr>
        <w:rFonts w:ascii="Symbol" w:hAnsi="Symbol" w:hint="default"/>
      </w:rPr>
    </w:lvl>
  </w:abstractNum>
  <w:abstractNum w:abstractNumId="10">
    <w:nsid w:val="084204C2"/>
    <w:multiLevelType w:val="multilevel"/>
    <w:tmpl w:val="B790A32C"/>
    <w:name w:val="PwCListBullets15"/>
    <w:numStyleLink w:val="PwCListBullets1"/>
  </w:abstractNum>
  <w:abstractNum w:abstractNumId="11">
    <w:nsid w:val="0984408E"/>
    <w:multiLevelType w:val="multilevel"/>
    <w:tmpl w:val="CF020DFA"/>
    <w:name w:val="PwCListNumbers1"/>
    <w:styleLink w:val="PwCListNumbers1"/>
    <w:lvl w:ilvl="0">
      <w:start w:val="1"/>
      <w:numFmt w:val="decimal"/>
      <w:pStyle w:val="ListNumber"/>
      <w:lvlText w:val="%1."/>
      <w:lvlJc w:val="left"/>
      <w:pPr>
        <w:tabs>
          <w:tab w:val="num" w:pos="397"/>
        </w:tabs>
        <w:ind w:left="397" w:hanging="397"/>
      </w:pPr>
      <w:rPr>
        <w:rFonts w:hint="default"/>
      </w:rPr>
    </w:lvl>
    <w:lvl w:ilvl="1">
      <w:start w:val="1"/>
      <w:numFmt w:val="lowerLetter"/>
      <w:pStyle w:val="ListNumber2"/>
      <w:lvlText w:val="%2."/>
      <w:lvlJc w:val="left"/>
      <w:pPr>
        <w:tabs>
          <w:tab w:val="num" w:pos="794"/>
        </w:tabs>
        <w:ind w:left="794" w:hanging="397"/>
      </w:pPr>
      <w:rPr>
        <w:rFonts w:hint="default"/>
      </w:rPr>
    </w:lvl>
    <w:lvl w:ilvl="2">
      <w:start w:val="1"/>
      <w:numFmt w:val="lowerRoman"/>
      <w:pStyle w:val="ListNumber3"/>
      <w:lvlText w:val="%3."/>
      <w:lvlJc w:val="left"/>
      <w:pPr>
        <w:tabs>
          <w:tab w:val="num" w:pos="1191"/>
        </w:tabs>
        <w:ind w:left="1191" w:hanging="397"/>
      </w:pPr>
      <w:rPr>
        <w:rFonts w:hint="default"/>
      </w:rPr>
    </w:lvl>
    <w:lvl w:ilvl="3">
      <w:start w:val="1"/>
      <w:numFmt w:val="decimal"/>
      <w:pStyle w:val="ListNumber4"/>
      <w:lvlText w:val="%4."/>
      <w:lvlJc w:val="left"/>
      <w:pPr>
        <w:tabs>
          <w:tab w:val="num" w:pos="1588"/>
        </w:tabs>
        <w:ind w:left="1588" w:hanging="397"/>
      </w:pPr>
      <w:rPr>
        <w:rFonts w:hint="default"/>
      </w:rPr>
    </w:lvl>
    <w:lvl w:ilvl="4">
      <w:start w:val="1"/>
      <w:numFmt w:val="lowerLetter"/>
      <w:pStyle w:val="ListNumber5"/>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12">
    <w:nsid w:val="1CA0630A"/>
    <w:multiLevelType w:val="hybridMultilevel"/>
    <w:tmpl w:val="8D7AECE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11A09F2"/>
    <w:multiLevelType w:val="hybridMultilevel"/>
    <w:tmpl w:val="95A2D6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3B62FBF"/>
    <w:multiLevelType w:val="multilevel"/>
    <w:tmpl w:val="B790A32C"/>
    <w:name w:val="PwCListBullets16"/>
    <w:numStyleLink w:val="PwCListBullets1"/>
  </w:abstractNum>
  <w:abstractNum w:abstractNumId="15">
    <w:nsid w:val="2AF667C2"/>
    <w:multiLevelType w:val="multilevel"/>
    <w:tmpl w:val="B790A32C"/>
    <w:name w:val="PwCListBullets13"/>
    <w:numStyleLink w:val="PwCListBullets1"/>
  </w:abstractNum>
  <w:abstractNum w:abstractNumId="16">
    <w:nsid w:val="3677385F"/>
    <w:multiLevelType w:val="multilevel"/>
    <w:tmpl w:val="CF020DFA"/>
    <w:name w:val="PwCListNumbers12"/>
    <w:numStyleLink w:val="PwCListNumbers1"/>
  </w:abstractNum>
  <w:abstractNum w:abstractNumId="17">
    <w:nsid w:val="36CC69E1"/>
    <w:multiLevelType w:val="hybridMultilevel"/>
    <w:tmpl w:val="7630A4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E172FBF"/>
    <w:multiLevelType w:val="hybridMultilevel"/>
    <w:tmpl w:val="525CF8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4B16D24"/>
    <w:multiLevelType w:val="multilevel"/>
    <w:tmpl w:val="B790A32C"/>
    <w:name w:val="PwCListBullets14"/>
    <w:numStyleLink w:val="PwCListBullets1"/>
  </w:abstractNum>
  <w:abstractNum w:abstractNumId="20">
    <w:nsid w:val="484240CC"/>
    <w:multiLevelType w:val="hybridMultilevel"/>
    <w:tmpl w:val="525860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94B747C"/>
    <w:multiLevelType w:val="multilevel"/>
    <w:tmpl w:val="CF020DFA"/>
    <w:name w:val="PwCListNumbers13"/>
    <w:numStyleLink w:val="PwCListNumbers1"/>
  </w:abstractNum>
  <w:abstractNum w:abstractNumId="22">
    <w:nsid w:val="4EF13E1C"/>
    <w:multiLevelType w:val="hybridMultilevel"/>
    <w:tmpl w:val="E85483E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3133CFC"/>
    <w:multiLevelType w:val="hybridMultilevel"/>
    <w:tmpl w:val="8B40A4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4840A41"/>
    <w:multiLevelType w:val="multilevel"/>
    <w:tmpl w:val="CF020DFA"/>
    <w:name w:val="PwCListNumbers14"/>
    <w:numStyleLink w:val="PwCListNumbers1"/>
  </w:abstractNum>
  <w:abstractNum w:abstractNumId="25">
    <w:nsid w:val="55FD1FD9"/>
    <w:multiLevelType w:val="hybridMultilevel"/>
    <w:tmpl w:val="077435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C3D4B59"/>
    <w:multiLevelType w:val="multilevel"/>
    <w:tmpl w:val="B790A32C"/>
    <w:name w:val="PwCListBullets12"/>
    <w:numStyleLink w:val="PwCListBullets1"/>
  </w:abstractNum>
  <w:abstractNum w:abstractNumId="27">
    <w:nsid w:val="63092BD3"/>
    <w:multiLevelType w:val="hybridMultilevel"/>
    <w:tmpl w:val="CBF864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A103633"/>
    <w:multiLevelType w:val="hybridMultilevel"/>
    <w:tmpl w:val="E0607542"/>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9">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0">
    <w:nsid w:val="76E16D89"/>
    <w:multiLevelType w:val="hybridMultilevel"/>
    <w:tmpl w:val="D2EEAF6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26"/>
  </w:num>
  <w:num w:numId="13">
    <w:abstractNumId w:val="15"/>
  </w:num>
  <w:num w:numId="14">
    <w:abstractNumId w:val="19"/>
  </w:num>
  <w:num w:numId="15">
    <w:abstractNumId w:val="11"/>
  </w:num>
  <w:num w:numId="16">
    <w:abstractNumId w:val="16"/>
  </w:num>
  <w:num w:numId="17">
    <w:abstractNumId w:val="10"/>
  </w:num>
  <w:num w:numId="18">
    <w:abstractNumId w:val="14"/>
  </w:num>
  <w:num w:numId="19">
    <w:abstractNumId w:val="21"/>
  </w:num>
  <w:num w:numId="20">
    <w:abstractNumId w:val="2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8"/>
  </w:num>
  <w:num w:numId="27">
    <w:abstractNumId w:val="13"/>
  </w:num>
  <w:num w:numId="28">
    <w:abstractNumId w:val="22"/>
  </w:num>
  <w:num w:numId="29">
    <w:abstractNumId w:val="23"/>
  </w:num>
  <w:num w:numId="30">
    <w:abstractNumId w:val="25"/>
  </w:num>
  <w:num w:numId="31">
    <w:abstractNumId w:val="17"/>
  </w:num>
  <w:num w:numId="32">
    <w:abstractNumId w:val="12"/>
  </w:num>
  <w:num w:numId="33">
    <w:abstractNumId w:val="30"/>
  </w:num>
  <w:num w:numId="34">
    <w:abstractNumId w:val="27"/>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283"/>
  <w:drawingGridHorizontalSpacing w:val="105"/>
  <w:displayHorizontalDrawingGridEvery w:val="2"/>
  <w:characterSpacingControl w:val="doNotCompress"/>
  <w:hdrShapeDefaults>
    <o:shapedefaults v:ext="edit" spidmax="31746"/>
  </w:hdrShapeDefaults>
  <w:footnotePr>
    <w:footnote w:id="-1"/>
    <w:footnote w:id="0"/>
  </w:footnotePr>
  <w:endnotePr>
    <w:endnote w:id="-1"/>
    <w:endnote w:id="0"/>
  </w:endnotePr>
  <w:compat>
    <w:useFELayout/>
  </w:compat>
  <w:rsids>
    <w:rsidRoot w:val="003A1590"/>
    <w:rsid w:val="000047FD"/>
    <w:rsid w:val="0000588E"/>
    <w:rsid w:val="0003319A"/>
    <w:rsid w:val="00036AF8"/>
    <w:rsid w:val="00037BDC"/>
    <w:rsid w:val="0006559D"/>
    <w:rsid w:val="00072177"/>
    <w:rsid w:val="00080644"/>
    <w:rsid w:val="000859B7"/>
    <w:rsid w:val="00094B7F"/>
    <w:rsid w:val="000B3C73"/>
    <w:rsid w:val="000B3D3F"/>
    <w:rsid w:val="000D7DAE"/>
    <w:rsid w:val="000F2057"/>
    <w:rsid w:val="00103C32"/>
    <w:rsid w:val="00117687"/>
    <w:rsid w:val="001325A2"/>
    <w:rsid w:val="0013684E"/>
    <w:rsid w:val="00144429"/>
    <w:rsid w:val="001516CB"/>
    <w:rsid w:val="001567E1"/>
    <w:rsid w:val="00197E64"/>
    <w:rsid w:val="001C1FC8"/>
    <w:rsid w:val="001C57AC"/>
    <w:rsid w:val="001D17A2"/>
    <w:rsid w:val="0020494F"/>
    <w:rsid w:val="00216A4B"/>
    <w:rsid w:val="0025775A"/>
    <w:rsid w:val="002649B9"/>
    <w:rsid w:val="0026745B"/>
    <w:rsid w:val="00284D02"/>
    <w:rsid w:val="00285B7F"/>
    <w:rsid w:val="00290D91"/>
    <w:rsid w:val="0029269A"/>
    <w:rsid w:val="002A635A"/>
    <w:rsid w:val="002C1E97"/>
    <w:rsid w:val="00311666"/>
    <w:rsid w:val="00334267"/>
    <w:rsid w:val="00373C47"/>
    <w:rsid w:val="003753FE"/>
    <w:rsid w:val="00384E1F"/>
    <w:rsid w:val="003944EA"/>
    <w:rsid w:val="003A1590"/>
    <w:rsid w:val="003B1750"/>
    <w:rsid w:val="003B26A2"/>
    <w:rsid w:val="003B597A"/>
    <w:rsid w:val="003B5CA4"/>
    <w:rsid w:val="003E1751"/>
    <w:rsid w:val="003F18BE"/>
    <w:rsid w:val="003F6ED0"/>
    <w:rsid w:val="003F79B5"/>
    <w:rsid w:val="00414681"/>
    <w:rsid w:val="00430362"/>
    <w:rsid w:val="00436A45"/>
    <w:rsid w:val="00441978"/>
    <w:rsid w:val="00442A92"/>
    <w:rsid w:val="00470945"/>
    <w:rsid w:val="004729FC"/>
    <w:rsid w:val="004771F6"/>
    <w:rsid w:val="00481104"/>
    <w:rsid w:val="00483C16"/>
    <w:rsid w:val="00494B9A"/>
    <w:rsid w:val="004D5273"/>
    <w:rsid w:val="004D7579"/>
    <w:rsid w:val="004E3332"/>
    <w:rsid w:val="004F41E8"/>
    <w:rsid w:val="004F7D3C"/>
    <w:rsid w:val="005118CD"/>
    <w:rsid w:val="00515BA2"/>
    <w:rsid w:val="005243A6"/>
    <w:rsid w:val="0054330C"/>
    <w:rsid w:val="00577752"/>
    <w:rsid w:val="00592336"/>
    <w:rsid w:val="005B0B94"/>
    <w:rsid w:val="005D7F75"/>
    <w:rsid w:val="00615AB8"/>
    <w:rsid w:val="00663F3C"/>
    <w:rsid w:val="00675358"/>
    <w:rsid w:val="0067746C"/>
    <w:rsid w:val="006802EE"/>
    <w:rsid w:val="006B0597"/>
    <w:rsid w:val="006C178E"/>
    <w:rsid w:val="006E792B"/>
    <w:rsid w:val="006F2A21"/>
    <w:rsid w:val="00737C68"/>
    <w:rsid w:val="00747D8C"/>
    <w:rsid w:val="007525FF"/>
    <w:rsid w:val="00756FEA"/>
    <w:rsid w:val="00765F03"/>
    <w:rsid w:val="007746EB"/>
    <w:rsid w:val="007B1083"/>
    <w:rsid w:val="007B596F"/>
    <w:rsid w:val="007C692E"/>
    <w:rsid w:val="007C7DFF"/>
    <w:rsid w:val="007D195D"/>
    <w:rsid w:val="007E40C6"/>
    <w:rsid w:val="007F4D3B"/>
    <w:rsid w:val="00831983"/>
    <w:rsid w:val="00840E22"/>
    <w:rsid w:val="00847128"/>
    <w:rsid w:val="008779B6"/>
    <w:rsid w:val="008A1C04"/>
    <w:rsid w:val="008A6B37"/>
    <w:rsid w:val="008B0524"/>
    <w:rsid w:val="008C042B"/>
    <w:rsid w:val="008D5347"/>
    <w:rsid w:val="008E43BA"/>
    <w:rsid w:val="008F400D"/>
    <w:rsid w:val="009036D6"/>
    <w:rsid w:val="009257A1"/>
    <w:rsid w:val="00930B3B"/>
    <w:rsid w:val="00935EC6"/>
    <w:rsid w:val="0094434F"/>
    <w:rsid w:val="00945558"/>
    <w:rsid w:val="0098227E"/>
    <w:rsid w:val="009A276F"/>
    <w:rsid w:val="009D50F0"/>
    <w:rsid w:val="009D529A"/>
    <w:rsid w:val="009D640C"/>
    <w:rsid w:val="009E2A92"/>
    <w:rsid w:val="009F0DB5"/>
    <w:rsid w:val="009F5368"/>
    <w:rsid w:val="00A34070"/>
    <w:rsid w:val="00A376BB"/>
    <w:rsid w:val="00A43BA6"/>
    <w:rsid w:val="00A44969"/>
    <w:rsid w:val="00A92414"/>
    <w:rsid w:val="00B35A88"/>
    <w:rsid w:val="00B46622"/>
    <w:rsid w:val="00B635D7"/>
    <w:rsid w:val="00B758C1"/>
    <w:rsid w:val="00B95029"/>
    <w:rsid w:val="00BB1F6F"/>
    <w:rsid w:val="00BC3125"/>
    <w:rsid w:val="00BD7E36"/>
    <w:rsid w:val="00C05950"/>
    <w:rsid w:val="00C22890"/>
    <w:rsid w:val="00C4701F"/>
    <w:rsid w:val="00C65D1A"/>
    <w:rsid w:val="00C7774C"/>
    <w:rsid w:val="00C83D28"/>
    <w:rsid w:val="00C943E4"/>
    <w:rsid w:val="00CA66D4"/>
    <w:rsid w:val="00CA7E4D"/>
    <w:rsid w:val="00D53A34"/>
    <w:rsid w:val="00D6142A"/>
    <w:rsid w:val="00DC5CE8"/>
    <w:rsid w:val="00DD21FD"/>
    <w:rsid w:val="00DD303C"/>
    <w:rsid w:val="00DD3536"/>
    <w:rsid w:val="00DF03FA"/>
    <w:rsid w:val="00DF2FFE"/>
    <w:rsid w:val="00DF7501"/>
    <w:rsid w:val="00E10A02"/>
    <w:rsid w:val="00E14399"/>
    <w:rsid w:val="00E15C36"/>
    <w:rsid w:val="00E328D8"/>
    <w:rsid w:val="00E50560"/>
    <w:rsid w:val="00E73E66"/>
    <w:rsid w:val="00E85664"/>
    <w:rsid w:val="00EA0CAE"/>
    <w:rsid w:val="00ED73E5"/>
    <w:rsid w:val="00EE0C5B"/>
    <w:rsid w:val="00EF3A0D"/>
    <w:rsid w:val="00F05F46"/>
    <w:rsid w:val="00F07444"/>
    <w:rsid w:val="00F1504D"/>
    <w:rsid w:val="00F17698"/>
    <w:rsid w:val="00F21666"/>
    <w:rsid w:val="00F23890"/>
    <w:rsid w:val="00F67510"/>
    <w:rsid w:val="00F9725A"/>
    <w:rsid w:val="00FA1081"/>
    <w:rsid w:val="00FE0AD1"/>
    <w:rsid w:val="00FF49BF"/>
  </w:rsids>
  <m:mathPr>
    <m:mathFont m:val="Cambria Math"/>
    <m:brkBin m:val="before"/>
    <m:brkBinSub m:val="--"/>
    <m:smallFrac m:val="off"/>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color w:val="000000" w:themeColor="text1"/>
        <w:sz w:val="21"/>
        <w:szCs w:val="21"/>
        <w:lang w:val="en-GB" w:eastAsia="zh-CN" w:bidi="ar-SA"/>
      </w:rPr>
    </w:rPrDefault>
    <w:pPrDefault>
      <w:pPr>
        <w:spacing w:after="240" w:line="240" w:lineRule="atLeast"/>
      </w:pPr>
    </w:pPrDefault>
  </w:docDefaults>
  <w:latentStyles w:defLockedState="0" w:defUIPriority="99" w:defSemiHidden="1" w:defUnhideWhenUsed="1" w:defQFormat="0" w:count="267">
    <w:lsdException w:name="Normal" w:semiHidden="0" w:uiPriority="34"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14"/>
    <w:lsdException w:name="List Bullet" w:qFormat="1"/>
    <w:lsdException w:name="List Number" w:qFormat="1"/>
    <w:lsdException w:name="List 2" w:uiPriority="14"/>
    <w:lsdException w:name="List 3" w:uiPriority="14"/>
    <w:lsdException w:name="List 4" w:uiPriority="14"/>
    <w:lsdException w:name="List 5" w:uiPriority="14"/>
    <w:lsdException w:name="List Bullet 4" w:uiPriority="14"/>
    <w:lsdException w:name="List Bullet 5" w:uiPriority="14"/>
    <w:lsdException w:name="List Number 2" w:semiHidden="0" w:uiPriority="14" w:unhideWhenUsed="0"/>
    <w:lsdException w:name="List Number 3" w:semiHidden="0" w:uiPriority="14" w:unhideWhenUsed="0"/>
    <w:lsdException w:name="List Number 4" w:uiPriority="14"/>
    <w:lsdException w:name="List Number 5" w:uiPriority="14"/>
    <w:lsdException w:name="Title" w:semiHidden="0" w:uiPriority="10" w:unhideWhenUsed="0" w:qFormat="1"/>
    <w:lsdException w:name="Default Paragraph Font" w:uiPriority="1"/>
    <w:lsdException w:name="Body Text" w:uiPriority="0" w:qFormat="1"/>
    <w:lsdException w:name="List Continue" w:uiPriority="14"/>
    <w:lsdException w:name="List Continue 2" w:uiPriority="14"/>
    <w:lsdException w:name="List Continue 3" w:uiPriority="14"/>
    <w:lsdException w:name="List Continue 4" w:uiPriority="14"/>
    <w:lsdException w:name="List Continue 5" w:uiPriority="14"/>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34"/>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uiPriority="29"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uiPriority="33" w:qFormat="1"/>
    <w:lsdException w:name="Bibliography" w:uiPriority="37"/>
    <w:lsdException w:name="TOC Heading" w:uiPriority="39" w:qFormat="1"/>
  </w:latentStyles>
  <w:style w:type="paragraph" w:default="1" w:styleId="Normal">
    <w:name w:val="Normal"/>
    <w:uiPriority w:val="34"/>
    <w:qFormat/>
    <w:rsid w:val="004729FC"/>
  </w:style>
  <w:style w:type="paragraph" w:styleId="Heading1">
    <w:name w:val="heading 1"/>
    <w:basedOn w:val="Normal"/>
    <w:next w:val="BodyText"/>
    <w:link w:val="Heading1Char"/>
    <w:uiPriority w:val="9"/>
    <w:qFormat/>
    <w:rsid w:val="00470945"/>
    <w:pPr>
      <w:keepNext/>
      <w:keepLines/>
      <w:spacing w:after="120" w:line="400" w:lineRule="exact"/>
      <w:outlineLvl w:val="0"/>
    </w:pPr>
    <w:rPr>
      <w:rFonts w:asciiTheme="majorHAnsi" w:eastAsiaTheme="majorEastAsia" w:hAnsiTheme="majorHAnsi" w:cstheme="majorBidi"/>
      <w:bCs/>
      <w:color w:val="00011F" w:themeColor="text2"/>
      <w:sz w:val="40"/>
      <w:szCs w:val="28"/>
    </w:rPr>
  </w:style>
  <w:style w:type="paragraph" w:styleId="Heading2">
    <w:name w:val="heading 2"/>
    <w:basedOn w:val="Normal"/>
    <w:next w:val="BodyText"/>
    <w:link w:val="Heading2Char"/>
    <w:uiPriority w:val="9"/>
    <w:qFormat/>
    <w:rsid w:val="00470945"/>
    <w:pPr>
      <w:keepNext/>
      <w:keepLines/>
      <w:spacing w:after="60" w:line="360" w:lineRule="exact"/>
      <w:outlineLvl w:val="1"/>
    </w:pPr>
    <w:rPr>
      <w:rFonts w:asciiTheme="majorHAnsi" w:eastAsiaTheme="majorEastAsia" w:hAnsiTheme="majorHAnsi" w:cstheme="majorBidi"/>
      <w:bCs/>
      <w:color w:val="A2978A" w:themeColor="accent1"/>
      <w:sz w:val="36"/>
      <w:szCs w:val="26"/>
    </w:rPr>
  </w:style>
  <w:style w:type="paragraph" w:styleId="Heading3">
    <w:name w:val="heading 3"/>
    <w:basedOn w:val="Normal"/>
    <w:next w:val="BodyText"/>
    <w:link w:val="Heading3Char"/>
    <w:uiPriority w:val="9"/>
    <w:qFormat/>
    <w:rsid w:val="00470945"/>
    <w:pPr>
      <w:keepNext/>
      <w:keepLines/>
      <w:spacing w:after="60" w:line="280" w:lineRule="exact"/>
      <w:outlineLvl w:val="2"/>
    </w:pPr>
    <w:rPr>
      <w:rFonts w:asciiTheme="majorHAnsi" w:eastAsiaTheme="majorEastAsia" w:hAnsiTheme="majorHAnsi" w:cstheme="majorBidi"/>
      <w:bCs/>
      <w:color w:val="00011F" w:themeColor="text2"/>
      <w:sz w:val="28"/>
    </w:rPr>
  </w:style>
  <w:style w:type="paragraph" w:styleId="Heading4">
    <w:name w:val="heading 4"/>
    <w:basedOn w:val="Normal"/>
    <w:next w:val="BodyText"/>
    <w:link w:val="Heading4Char"/>
    <w:uiPriority w:val="9"/>
    <w:unhideWhenUsed/>
    <w:qFormat/>
    <w:rsid w:val="000D7DAE"/>
    <w:pPr>
      <w:keepNext/>
      <w:keepLines/>
      <w:spacing w:after="60" w:line="240" w:lineRule="exact"/>
      <w:outlineLvl w:val="3"/>
    </w:pPr>
    <w:rPr>
      <w:rFonts w:asciiTheme="majorHAnsi" w:eastAsiaTheme="majorEastAsia" w:hAnsiTheme="majorHAnsi" w:cstheme="majorBidi"/>
      <w:bCs/>
      <w:iCs/>
      <w:color w:val="A2978A" w:themeColor="accent1"/>
      <w:sz w:val="24"/>
    </w:rPr>
  </w:style>
  <w:style w:type="paragraph" w:styleId="Heading5">
    <w:name w:val="heading 5"/>
    <w:basedOn w:val="Normal"/>
    <w:next w:val="BodyText"/>
    <w:link w:val="Heading5Char"/>
    <w:uiPriority w:val="9"/>
    <w:semiHidden/>
    <w:unhideWhenUsed/>
    <w:rsid w:val="00E50560"/>
    <w:pPr>
      <w:keepNext/>
      <w:keepLines/>
      <w:spacing w:after="60" w:line="210" w:lineRule="exact"/>
      <w:outlineLvl w:val="4"/>
    </w:pPr>
    <w:rPr>
      <w:rFonts w:asciiTheme="majorHAnsi" w:eastAsiaTheme="majorEastAsia" w:hAnsiTheme="majorHAnsi" w:cstheme="majorBidi"/>
      <w:color w:val="00011F" w:themeColor="text2"/>
    </w:rPr>
  </w:style>
  <w:style w:type="paragraph" w:styleId="Heading6">
    <w:name w:val="heading 6"/>
    <w:basedOn w:val="Normal"/>
    <w:next w:val="BodyText"/>
    <w:link w:val="Heading6Char"/>
    <w:uiPriority w:val="9"/>
    <w:semiHidden/>
    <w:unhideWhenUsed/>
    <w:rsid w:val="002C1E97"/>
    <w:pPr>
      <w:keepNext/>
      <w:keepLines/>
      <w:spacing w:after="60"/>
      <w:outlineLvl w:val="5"/>
    </w:pPr>
    <w:rPr>
      <w:rFonts w:asciiTheme="majorHAnsi" w:eastAsiaTheme="majorEastAsia" w:hAnsiTheme="majorHAnsi" w:cstheme="majorBidi"/>
      <w:iCs/>
    </w:rPr>
  </w:style>
  <w:style w:type="paragraph" w:styleId="Heading7">
    <w:name w:val="heading 7"/>
    <w:basedOn w:val="Normal"/>
    <w:next w:val="BodyText"/>
    <w:link w:val="Heading7Char"/>
    <w:uiPriority w:val="9"/>
    <w:semiHidden/>
    <w:unhideWhenUsed/>
    <w:rsid w:val="002C1E97"/>
    <w:pPr>
      <w:keepNext/>
      <w:keepLines/>
      <w:spacing w:after="60"/>
      <w:outlineLvl w:val="6"/>
    </w:pPr>
    <w:rPr>
      <w:rFonts w:asciiTheme="majorHAnsi" w:eastAsiaTheme="majorEastAsia" w:hAnsiTheme="majorHAnsi" w:cstheme="majorBidi"/>
      <w:iCs/>
    </w:rPr>
  </w:style>
  <w:style w:type="paragraph" w:styleId="Heading8">
    <w:name w:val="heading 8"/>
    <w:basedOn w:val="Normal"/>
    <w:next w:val="BodyText"/>
    <w:link w:val="Heading8Char"/>
    <w:uiPriority w:val="9"/>
    <w:semiHidden/>
    <w:unhideWhenUsed/>
    <w:qFormat/>
    <w:rsid w:val="002C1E97"/>
    <w:pPr>
      <w:keepNext/>
      <w:keepLines/>
      <w:spacing w:after="60"/>
      <w:outlineLvl w:val="7"/>
    </w:pPr>
    <w:rPr>
      <w:rFonts w:asciiTheme="majorHAnsi" w:eastAsiaTheme="majorEastAsia" w:hAnsiTheme="majorHAnsi" w:cstheme="majorBidi"/>
      <w:szCs w:val="20"/>
    </w:rPr>
  </w:style>
  <w:style w:type="paragraph" w:styleId="Heading9">
    <w:name w:val="heading 9"/>
    <w:basedOn w:val="Normal"/>
    <w:next w:val="BodyText"/>
    <w:link w:val="Heading9Char"/>
    <w:uiPriority w:val="9"/>
    <w:semiHidden/>
    <w:unhideWhenUsed/>
    <w:qFormat/>
    <w:rsid w:val="002C1E97"/>
    <w:pPr>
      <w:keepNext/>
      <w:keepLines/>
      <w:spacing w:after="60"/>
      <w:outlineLvl w:val="8"/>
    </w:pPr>
    <w:rPr>
      <w:rFonts w:asciiTheme="majorHAnsi" w:eastAsiaTheme="majorEastAsia" w:hAnsiTheme="majorHAnsi"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C1E97"/>
  </w:style>
  <w:style w:type="character" w:customStyle="1" w:styleId="BodyTextChar">
    <w:name w:val="Body Text Char"/>
    <w:basedOn w:val="DefaultParagraphFont"/>
    <w:link w:val="BodyText"/>
    <w:rsid w:val="00B758C1"/>
  </w:style>
  <w:style w:type="character" w:customStyle="1" w:styleId="Heading1Char">
    <w:name w:val="Heading 1 Char"/>
    <w:basedOn w:val="DefaultParagraphFont"/>
    <w:link w:val="Heading1"/>
    <w:uiPriority w:val="9"/>
    <w:rsid w:val="00470945"/>
    <w:rPr>
      <w:rFonts w:asciiTheme="majorHAnsi" w:eastAsiaTheme="majorEastAsia" w:hAnsiTheme="majorHAnsi" w:cstheme="majorBidi"/>
      <w:bCs/>
      <w:color w:val="00011F" w:themeColor="text2"/>
      <w:sz w:val="40"/>
      <w:szCs w:val="28"/>
    </w:rPr>
  </w:style>
  <w:style w:type="paragraph" w:styleId="TOCHeading">
    <w:name w:val="TOC Heading"/>
    <w:basedOn w:val="Heading1"/>
    <w:next w:val="BodyText"/>
    <w:uiPriority w:val="39"/>
    <w:semiHidden/>
    <w:unhideWhenUsed/>
    <w:qFormat/>
    <w:rsid w:val="00DD303C"/>
    <w:pPr>
      <w:spacing w:before="480" w:after="0" w:line="276" w:lineRule="auto"/>
      <w:outlineLvl w:val="9"/>
    </w:pPr>
  </w:style>
  <w:style w:type="character" w:customStyle="1" w:styleId="Heading2Char">
    <w:name w:val="Heading 2 Char"/>
    <w:basedOn w:val="DefaultParagraphFont"/>
    <w:link w:val="Heading2"/>
    <w:uiPriority w:val="9"/>
    <w:rsid w:val="00470945"/>
    <w:rPr>
      <w:rFonts w:asciiTheme="majorHAnsi" w:eastAsiaTheme="majorEastAsia" w:hAnsiTheme="majorHAnsi" w:cstheme="majorBidi"/>
      <w:bCs/>
      <w:color w:val="A2978A" w:themeColor="accent1"/>
      <w:sz w:val="36"/>
      <w:szCs w:val="26"/>
    </w:rPr>
  </w:style>
  <w:style w:type="character" w:customStyle="1" w:styleId="Heading3Char">
    <w:name w:val="Heading 3 Char"/>
    <w:basedOn w:val="DefaultParagraphFont"/>
    <w:link w:val="Heading3"/>
    <w:uiPriority w:val="9"/>
    <w:rsid w:val="00470945"/>
    <w:rPr>
      <w:rFonts w:asciiTheme="majorHAnsi" w:eastAsiaTheme="majorEastAsia" w:hAnsiTheme="majorHAnsi" w:cstheme="majorBidi"/>
      <w:bCs/>
      <w:color w:val="00011F" w:themeColor="text2"/>
      <w:sz w:val="28"/>
    </w:rPr>
  </w:style>
  <w:style w:type="character" w:customStyle="1" w:styleId="Heading4Char">
    <w:name w:val="Heading 4 Char"/>
    <w:basedOn w:val="DefaultParagraphFont"/>
    <w:link w:val="Heading4"/>
    <w:uiPriority w:val="9"/>
    <w:rsid w:val="000D7DAE"/>
    <w:rPr>
      <w:rFonts w:asciiTheme="majorHAnsi" w:eastAsiaTheme="majorEastAsia" w:hAnsiTheme="majorHAnsi" w:cstheme="majorBidi"/>
      <w:bCs/>
      <w:iCs/>
      <w:color w:val="A2978A" w:themeColor="accent1"/>
      <w:sz w:val="24"/>
    </w:rPr>
  </w:style>
  <w:style w:type="character" w:customStyle="1" w:styleId="Heading5Char">
    <w:name w:val="Heading 5 Char"/>
    <w:basedOn w:val="DefaultParagraphFont"/>
    <w:link w:val="Heading5"/>
    <w:uiPriority w:val="9"/>
    <w:semiHidden/>
    <w:rsid w:val="002649B9"/>
    <w:rPr>
      <w:rFonts w:asciiTheme="majorHAnsi" w:eastAsiaTheme="majorEastAsia" w:hAnsiTheme="majorHAnsi" w:cstheme="majorBidi"/>
      <w:color w:val="00011F" w:themeColor="text2"/>
    </w:rPr>
  </w:style>
  <w:style w:type="character" w:customStyle="1" w:styleId="Heading6Char">
    <w:name w:val="Heading 6 Char"/>
    <w:basedOn w:val="DefaultParagraphFont"/>
    <w:link w:val="Heading6"/>
    <w:uiPriority w:val="9"/>
    <w:semiHidden/>
    <w:rsid w:val="002649B9"/>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2649B9"/>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2C1E97"/>
    <w:rPr>
      <w:rFonts w:asciiTheme="majorHAnsi" w:eastAsiaTheme="majorEastAsia" w:hAnsiTheme="majorHAnsi" w:cstheme="majorBidi"/>
      <w:szCs w:val="20"/>
    </w:rPr>
  </w:style>
  <w:style w:type="character" w:customStyle="1" w:styleId="Heading9Char">
    <w:name w:val="Heading 9 Char"/>
    <w:basedOn w:val="DefaultParagraphFont"/>
    <w:link w:val="Heading9"/>
    <w:uiPriority w:val="9"/>
    <w:semiHidden/>
    <w:rsid w:val="002C1E97"/>
    <w:rPr>
      <w:rFonts w:asciiTheme="majorHAnsi" w:eastAsiaTheme="majorEastAsia" w:hAnsiTheme="majorHAnsi" w:cstheme="majorBidi"/>
      <w:iCs/>
      <w:szCs w:val="20"/>
    </w:rPr>
  </w:style>
  <w:style w:type="paragraph" w:styleId="Title">
    <w:name w:val="Title"/>
    <w:basedOn w:val="Normal"/>
    <w:next w:val="Subtitle"/>
    <w:link w:val="TitleChar"/>
    <w:uiPriority w:val="10"/>
    <w:qFormat/>
    <w:rsid w:val="00036AF8"/>
    <w:pPr>
      <w:pageBreakBefore/>
    </w:pPr>
    <w:rPr>
      <w:rFonts w:asciiTheme="majorHAnsi" w:eastAsiaTheme="majorEastAsia" w:hAnsiTheme="majorHAnsi" w:cstheme="majorBidi"/>
      <w:color w:val="00011F" w:themeColor="text2"/>
      <w:spacing w:val="5"/>
      <w:kern w:val="28"/>
      <w:sz w:val="72"/>
      <w:szCs w:val="52"/>
    </w:rPr>
  </w:style>
  <w:style w:type="character" w:customStyle="1" w:styleId="TitleChar">
    <w:name w:val="Title Char"/>
    <w:basedOn w:val="DefaultParagraphFont"/>
    <w:link w:val="Title"/>
    <w:uiPriority w:val="10"/>
    <w:rsid w:val="00036AF8"/>
    <w:rPr>
      <w:rFonts w:asciiTheme="majorHAnsi" w:eastAsiaTheme="majorEastAsia" w:hAnsiTheme="majorHAnsi" w:cstheme="majorBidi"/>
      <w:color w:val="00011F" w:themeColor="text2"/>
      <w:spacing w:val="5"/>
      <w:kern w:val="28"/>
      <w:sz w:val="72"/>
      <w:szCs w:val="52"/>
    </w:rPr>
  </w:style>
  <w:style w:type="paragraph" w:styleId="Subtitle">
    <w:name w:val="Subtitle"/>
    <w:basedOn w:val="Normal"/>
    <w:next w:val="BodyText"/>
    <w:link w:val="SubtitleChar"/>
    <w:uiPriority w:val="11"/>
    <w:qFormat/>
    <w:rsid w:val="00036AF8"/>
    <w:pPr>
      <w:numPr>
        <w:ilvl w:val="1"/>
      </w:numPr>
    </w:pPr>
    <w:rPr>
      <w:rFonts w:asciiTheme="majorHAnsi" w:eastAsiaTheme="majorEastAsia" w:hAnsiTheme="majorHAnsi" w:cstheme="majorBidi"/>
      <w:iCs/>
      <w:color w:val="A2978A" w:themeColor="accent1"/>
      <w:sz w:val="36"/>
      <w:szCs w:val="24"/>
    </w:rPr>
  </w:style>
  <w:style w:type="character" w:customStyle="1" w:styleId="SubtitleChar">
    <w:name w:val="Subtitle Char"/>
    <w:basedOn w:val="DefaultParagraphFont"/>
    <w:link w:val="Subtitle"/>
    <w:uiPriority w:val="11"/>
    <w:rsid w:val="00036AF8"/>
    <w:rPr>
      <w:rFonts w:asciiTheme="majorHAnsi" w:eastAsiaTheme="majorEastAsia" w:hAnsiTheme="majorHAnsi" w:cstheme="majorBidi"/>
      <w:iCs/>
      <w:color w:val="A2978A" w:themeColor="accent1"/>
      <w:sz w:val="36"/>
      <w:szCs w:val="24"/>
    </w:rPr>
  </w:style>
  <w:style w:type="paragraph" w:styleId="Caption">
    <w:name w:val="caption"/>
    <w:basedOn w:val="Normal"/>
    <w:next w:val="Normal"/>
    <w:uiPriority w:val="35"/>
    <w:semiHidden/>
    <w:unhideWhenUsed/>
    <w:qFormat/>
    <w:rsid w:val="00756FEA"/>
    <w:pPr>
      <w:spacing w:after="0"/>
    </w:pPr>
    <w:rPr>
      <w:b/>
      <w:bCs/>
      <w:sz w:val="18"/>
      <w:szCs w:val="18"/>
    </w:rPr>
  </w:style>
  <w:style w:type="paragraph" w:styleId="BlockText">
    <w:name w:val="Block Text"/>
    <w:basedOn w:val="Normal"/>
    <w:uiPriority w:val="99"/>
    <w:semiHidden/>
    <w:unhideWhenUsed/>
    <w:rsid w:val="00756FEA"/>
    <w:pPr>
      <w:pBdr>
        <w:top w:val="single" w:sz="2" w:space="10" w:color="auto"/>
        <w:left w:val="single" w:sz="2" w:space="10" w:color="auto"/>
        <w:bottom w:val="single" w:sz="2" w:space="10" w:color="auto"/>
        <w:right w:val="single" w:sz="2" w:space="10" w:color="auto"/>
      </w:pBdr>
      <w:ind w:left="1152" w:right="1152"/>
    </w:pPr>
    <w:rPr>
      <w:i/>
      <w:iCs/>
      <w:sz w:val="22"/>
      <w:szCs w:val="22"/>
    </w:rPr>
  </w:style>
  <w:style w:type="character" w:styleId="IntenseEmphasis">
    <w:name w:val="Intense Emphasis"/>
    <w:basedOn w:val="DefaultParagraphFont"/>
    <w:uiPriority w:val="21"/>
    <w:qFormat/>
    <w:rsid w:val="00756FEA"/>
    <w:rPr>
      <w:b/>
      <w:bCs/>
      <w:i/>
      <w:iCs/>
      <w:color w:val="auto"/>
      <w:u w:val="none"/>
    </w:rPr>
  </w:style>
  <w:style w:type="paragraph" w:styleId="IntenseQuote">
    <w:name w:val="Intense Quote"/>
    <w:basedOn w:val="Normal"/>
    <w:next w:val="Normal"/>
    <w:link w:val="IntenseQuoteChar"/>
    <w:uiPriority w:val="30"/>
    <w:semiHidden/>
    <w:unhideWhenUsed/>
    <w:qFormat/>
    <w:rsid w:val="00756FEA"/>
    <w:pPr>
      <w:pBdr>
        <w:bottom w:val="single" w:sz="4" w:space="4" w:color="auto"/>
      </w:pBdr>
      <w:ind w:left="936" w:right="936"/>
    </w:pPr>
    <w:rPr>
      <w:b/>
      <w:bCs/>
      <w:i/>
      <w:iCs/>
      <w:sz w:val="22"/>
      <w:szCs w:val="22"/>
    </w:rPr>
  </w:style>
  <w:style w:type="character" w:customStyle="1" w:styleId="IntenseQuoteChar">
    <w:name w:val="Intense Quote Char"/>
    <w:basedOn w:val="DefaultParagraphFont"/>
    <w:link w:val="IntenseQuote"/>
    <w:uiPriority w:val="30"/>
    <w:semiHidden/>
    <w:rsid w:val="00DD303C"/>
    <w:rPr>
      <w:b/>
      <w:bCs/>
      <w:i/>
      <w:iCs/>
      <w:sz w:val="22"/>
      <w:szCs w:val="22"/>
    </w:rPr>
  </w:style>
  <w:style w:type="character" w:styleId="IntenseReference">
    <w:name w:val="Intense Reference"/>
    <w:basedOn w:val="DefaultParagraphFont"/>
    <w:uiPriority w:val="32"/>
    <w:semiHidden/>
    <w:unhideWhenUsed/>
    <w:qFormat/>
    <w:rsid w:val="00756FEA"/>
    <w:rPr>
      <w:b/>
      <w:bCs/>
      <w:i w:val="0"/>
      <w:smallCaps/>
      <w:color w:val="auto"/>
      <w:spacing w:val="5"/>
      <w:u w:val="none"/>
    </w:rPr>
  </w:style>
  <w:style w:type="character" w:styleId="SubtleEmphasis">
    <w:name w:val="Subtle Emphasis"/>
    <w:basedOn w:val="DefaultParagraphFont"/>
    <w:uiPriority w:val="19"/>
    <w:semiHidden/>
    <w:unhideWhenUsed/>
    <w:qFormat/>
    <w:rsid w:val="00756FEA"/>
    <w:rPr>
      <w:b w:val="0"/>
      <w:i/>
      <w:iCs/>
      <w:color w:val="auto"/>
      <w:u w:val="none"/>
    </w:rPr>
  </w:style>
  <w:style w:type="character" w:styleId="SubtleReference">
    <w:name w:val="Subtle Reference"/>
    <w:basedOn w:val="DefaultParagraphFont"/>
    <w:uiPriority w:val="31"/>
    <w:semiHidden/>
    <w:unhideWhenUsed/>
    <w:qFormat/>
    <w:rsid w:val="00756FEA"/>
    <w:rPr>
      <w:b w:val="0"/>
      <w:i w:val="0"/>
      <w:smallCaps/>
      <w:color w:val="auto"/>
      <w:u w:val="single"/>
    </w:rPr>
  </w:style>
  <w:style w:type="paragraph" w:styleId="ListBullet">
    <w:name w:val="List Bullet"/>
    <w:basedOn w:val="Normal"/>
    <w:uiPriority w:val="14"/>
    <w:qFormat/>
    <w:rsid w:val="00ED73E5"/>
    <w:pPr>
      <w:numPr>
        <w:numId w:val="11"/>
      </w:numPr>
    </w:pPr>
  </w:style>
  <w:style w:type="paragraph" w:styleId="ListBullet2">
    <w:name w:val="List Bullet 2"/>
    <w:basedOn w:val="Normal"/>
    <w:uiPriority w:val="14"/>
    <w:rsid w:val="00ED73E5"/>
    <w:pPr>
      <w:numPr>
        <w:ilvl w:val="1"/>
        <w:numId w:val="11"/>
      </w:numPr>
    </w:pPr>
  </w:style>
  <w:style w:type="paragraph" w:styleId="ListBullet3">
    <w:name w:val="List Bullet 3"/>
    <w:basedOn w:val="Normal"/>
    <w:uiPriority w:val="14"/>
    <w:rsid w:val="00ED73E5"/>
    <w:pPr>
      <w:numPr>
        <w:ilvl w:val="2"/>
        <w:numId w:val="11"/>
      </w:numPr>
    </w:pPr>
  </w:style>
  <w:style w:type="table" w:styleId="TableGrid">
    <w:name w:val="Table Grid"/>
    <w:basedOn w:val="TableNormal"/>
    <w:uiPriority w:val="59"/>
    <w:rsid w:val="00B635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B758C1"/>
    <w:rPr>
      <w:b/>
      <w:bCs/>
    </w:rPr>
  </w:style>
  <w:style w:type="paragraph" w:styleId="ListNumber">
    <w:name w:val="List Number"/>
    <w:basedOn w:val="Normal"/>
    <w:uiPriority w:val="14"/>
    <w:qFormat/>
    <w:rsid w:val="00ED73E5"/>
    <w:pPr>
      <w:numPr>
        <w:numId w:val="15"/>
      </w:numPr>
    </w:pPr>
  </w:style>
  <w:style w:type="paragraph" w:customStyle="1" w:styleId="BodySingle">
    <w:name w:val="Body Single"/>
    <w:basedOn w:val="BodyText"/>
    <w:link w:val="BodySingleChar"/>
    <w:uiPriority w:val="1"/>
    <w:qFormat/>
    <w:rsid w:val="00B758C1"/>
    <w:pPr>
      <w:spacing w:after="0"/>
    </w:pPr>
  </w:style>
  <w:style w:type="character" w:customStyle="1" w:styleId="BodySingleChar">
    <w:name w:val="Body Single Char"/>
    <w:basedOn w:val="BodyTextChar"/>
    <w:link w:val="BodySingle"/>
    <w:uiPriority w:val="1"/>
    <w:rsid w:val="00B758C1"/>
  </w:style>
  <w:style w:type="paragraph" w:styleId="ListParagraph">
    <w:name w:val="List Paragraph"/>
    <w:basedOn w:val="Normal"/>
    <w:uiPriority w:val="34"/>
    <w:unhideWhenUsed/>
    <w:qFormat/>
    <w:rsid w:val="0029269A"/>
    <w:pPr>
      <w:ind w:left="720"/>
      <w:contextualSpacing/>
    </w:pPr>
  </w:style>
  <w:style w:type="paragraph" w:styleId="Header">
    <w:name w:val="header"/>
    <w:basedOn w:val="Normal"/>
    <w:link w:val="HeaderChar"/>
    <w:uiPriority w:val="99"/>
    <w:semiHidden/>
    <w:unhideWhenUsed/>
    <w:rsid w:val="00436A4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36A45"/>
  </w:style>
  <w:style w:type="paragraph" w:styleId="Footer">
    <w:name w:val="footer"/>
    <w:basedOn w:val="Normal"/>
    <w:link w:val="FooterChar"/>
    <w:uiPriority w:val="99"/>
    <w:semiHidden/>
    <w:unhideWhenUsed/>
    <w:rsid w:val="00436A4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36A45"/>
  </w:style>
  <w:style w:type="table" w:styleId="LightShading-Accent2">
    <w:name w:val="Light Shading Accent 2"/>
    <w:basedOn w:val="TableNormal"/>
    <w:uiPriority w:val="60"/>
    <w:rsid w:val="000D7DAE"/>
    <w:pPr>
      <w:spacing w:after="0" w:line="240" w:lineRule="auto"/>
    </w:pPr>
    <w:rPr>
      <w:color w:val="83756D" w:themeColor="accent2" w:themeShade="BF"/>
    </w:rPr>
    <w:tblPr>
      <w:tblStyleRowBandSize w:val="1"/>
      <w:tblStyleColBandSize w:val="1"/>
      <w:tblInd w:w="0" w:type="dxa"/>
      <w:tblBorders>
        <w:top w:val="single" w:sz="8" w:space="0" w:color="AA9F98" w:themeColor="accent2"/>
        <w:bottom w:val="single" w:sz="8" w:space="0" w:color="AA9F98"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A9F98" w:themeColor="accent2"/>
          <w:left w:val="nil"/>
          <w:bottom w:val="single" w:sz="8" w:space="0" w:color="AA9F98" w:themeColor="accent2"/>
          <w:right w:val="nil"/>
          <w:insideH w:val="nil"/>
          <w:insideV w:val="nil"/>
        </w:tcBorders>
      </w:tcPr>
    </w:tblStylePr>
    <w:tblStylePr w:type="lastRow">
      <w:pPr>
        <w:spacing w:before="0" w:after="0" w:line="240" w:lineRule="auto"/>
      </w:pPr>
      <w:rPr>
        <w:b/>
        <w:bCs/>
      </w:rPr>
      <w:tblPr/>
      <w:tcPr>
        <w:tcBorders>
          <w:top w:val="single" w:sz="8" w:space="0" w:color="AA9F98" w:themeColor="accent2"/>
          <w:left w:val="nil"/>
          <w:bottom w:val="single" w:sz="8" w:space="0" w:color="AA9F9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7E5" w:themeFill="accent2" w:themeFillTint="3F"/>
      </w:tcPr>
    </w:tblStylePr>
    <w:tblStylePr w:type="band1Horz">
      <w:tblPr/>
      <w:tcPr>
        <w:tcBorders>
          <w:left w:val="nil"/>
          <w:right w:val="nil"/>
          <w:insideH w:val="nil"/>
          <w:insideV w:val="nil"/>
        </w:tcBorders>
        <w:shd w:val="clear" w:color="auto" w:fill="EAE7E5" w:themeFill="accent2" w:themeFillTint="3F"/>
      </w:tcPr>
    </w:tblStylePr>
  </w:style>
  <w:style w:type="table" w:styleId="MediumShading1-Accent4">
    <w:name w:val="Medium Shading 1 Accent 4"/>
    <w:basedOn w:val="TableNormal"/>
    <w:uiPriority w:val="63"/>
    <w:rsid w:val="000D7DAE"/>
    <w:pPr>
      <w:spacing w:after="0" w:line="240" w:lineRule="auto"/>
    </w:pPr>
    <w:tblPr>
      <w:tblStyleRowBandSize w:val="1"/>
      <w:tblStyleColBandSize w:val="1"/>
      <w:tblInd w:w="0" w:type="dxa"/>
      <w:tblBorders>
        <w:top w:val="single" w:sz="8" w:space="0" w:color="E5E2E0" w:themeColor="accent4" w:themeTint="BF"/>
        <w:left w:val="single" w:sz="8" w:space="0" w:color="E5E2E0" w:themeColor="accent4" w:themeTint="BF"/>
        <w:bottom w:val="single" w:sz="8" w:space="0" w:color="E5E2E0" w:themeColor="accent4" w:themeTint="BF"/>
        <w:right w:val="single" w:sz="8" w:space="0" w:color="E5E2E0" w:themeColor="accent4" w:themeTint="BF"/>
        <w:insideH w:val="single" w:sz="8" w:space="0" w:color="E5E2E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5E2E0" w:themeColor="accent4" w:themeTint="BF"/>
          <w:left w:val="single" w:sz="8" w:space="0" w:color="E5E2E0" w:themeColor="accent4" w:themeTint="BF"/>
          <w:bottom w:val="single" w:sz="8" w:space="0" w:color="E5E2E0" w:themeColor="accent4" w:themeTint="BF"/>
          <w:right w:val="single" w:sz="8" w:space="0" w:color="E5E2E0" w:themeColor="accent4" w:themeTint="BF"/>
          <w:insideH w:val="nil"/>
          <w:insideV w:val="nil"/>
        </w:tcBorders>
        <w:shd w:val="clear" w:color="auto" w:fill="DDD9D6" w:themeFill="accent4"/>
      </w:tcPr>
    </w:tblStylePr>
    <w:tblStylePr w:type="lastRow">
      <w:pPr>
        <w:spacing w:before="0" w:after="0" w:line="240" w:lineRule="auto"/>
      </w:pPr>
      <w:rPr>
        <w:b/>
        <w:bCs/>
      </w:rPr>
      <w:tblPr/>
      <w:tcPr>
        <w:tcBorders>
          <w:top w:val="double" w:sz="6" w:space="0" w:color="E5E2E0" w:themeColor="accent4" w:themeTint="BF"/>
          <w:left w:val="single" w:sz="8" w:space="0" w:color="E5E2E0" w:themeColor="accent4" w:themeTint="BF"/>
          <w:bottom w:val="single" w:sz="8" w:space="0" w:color="E5E2E0" w:themeColor="accent4" w:themeTint="BF"/>
          <w:right w:val="single" w:sz="8" w:space="0" w:color="E5E2E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F5F4" w:themeFill="accent4" w:themeFillTint="3F"/>
      </w:tcPr>
    </w:tblStylePr>
    <w:tblStylePr w:type="band1Horz">
      <w:tblPr/>
      <w:tcPr>
        <w:tcBorders>
          <w:insideH w:val="nil"/>
          <w:insideV w:val="nil"/>
        </w:tcBorders>
        <w:shd w:val="clear" w:color="auto" w:fill="F6F5F4" w:themeFill="accent4"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0D7DAE"/>
    <w:pPr>
      <w:spacing w:after="0" w:line="240" w:lineRule="auto"/>
    </w:pPr>
    <w:rPr>
      <w:sz w:val="16"/>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0D7DAE"/>
    <w:pPr>
      <w:spacing w:after="0" w:line="240" w:lineRule="auto"/>
    </w:pPr>
    <w:tblPr>
      <w:tblStyleRowBandSize w:val="1"/>
      <w:tblStyleColBandSize w:val="1"/>
      <w:tblInd w:w="0" w:type="dxa"/>
      <w:tblBorders>
        <w:top w:val="single" w:sz="8" w:space="0" w:color="B9B1A7" w:themeColor="accent1" w:themeTint="BF"/>
        <w:left w:val="single" w:sz="8" w:space="0" w:color="B9B1A7" w:themeColor="accent1" w:themeTint="BF"/>
        <w:bottom w:val="single" w:sz="8" w:space="0" w:color="B9B1A7" w:themeColor="accent1" w:themeTint="BF"/>
        <w:right w:val="single" w:sz="8" w:space="0" w:color="B9B1A7" w:themeColor="accent1" w:themeTint="BF"/>
        <w:insideH w:val="single" w:sz="8" w:space="0" w:color="B9B1A7"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9B1A7" w:themeColor="accent1" w:themeTint="BF"/>
          <w:left w:val="single" w:sz="8" w:space="0" w:color="B9B1A7" w:themeColor="accent1" w:themeTint="BF"/>
          <w:bottom w:val="single" w:sz="8" w:space="0" w:color="B9B1A7" w:themeColor="accent1" w:themeTint="BF"/>
          <w:right w:val="single" w:sz="8" w:space="0" w:color="B9B1A7" w:themeColor="accent1" w:themeTint="BF"/>
          <w:insideH w:val="nil"/>
          <w:insideV w:val="nil"/>
        </w:tcBorders>
        <w:shd w:val="clear" w:color="auto" w:fill="A2978A" w:themeFill="accent1"/>
      </w:tcPr>
    </w:tblStylePr>
    <w:tblStylePr w:type="lastRow">
      <w:pPr>
        <w:spacing w:before="0" w:after="0" w:line="240" w:lineRule="auto"/>
      </w:pPr>
      <w:rPr>
        <w:b/>
        <w:bCs/>
      </w:rPr>
      <w:tblPr/>
      <w:tcPr>
        <w:tcBorders>
          <w:top w:val="double" w:sz="6" w:space="0" w:color="B9B1A7" w:themeColor="accent1" w:themeTint="BF"/>
          <w:left w:val="single" w:sz="8" w:space="0" w:color="B9B1A7" w:themeColor="accent1" w:themeTint="BF"/>
          <w:bottom w:val="single" w:sz="8" w:space="0" w:color="B9B1A7" w:themeColor="accent1" w:themeTint="BF"/>
          <w:right w:val="single" w:sz="8" w:space="0" w:color="B9B1A7" w:themeColor="accent1" w:themeTint="BF"/>
          <w:insideH w:val="nil"/>
          <w:insideV w:val="nil"/>
        </w:tcBorders>
      </w:tcPr>
    </w:tblStylePr>
    <w:tblStylePr w:type="firstCol">
      <w:rPr>
        <w:b/>
        <w:bCs/>
      </w:rPr>
    </w:tblStylePr>
    <w:tblStylePr w:type="lastCol">
      <w:rPr>
        <w:b/>
        <w:bCs/>
      </w:rPr>
    </w:tblStylePr>
    <w:tblStylePr w:type="band1Vert">
      <w:tblPr/>
      <w:tcPr>
        <w:shd w:val="clear" w:color="auto" w:fill="E8E5E2" w:themeFill="accent1" w:themeFillTint="3F"/>
      </w:tcPr>
    </w:tblStylePr>
    <w:tblStylePr w:type="band1Horz">
      <w:tblPr/>
      <w:tcPr>
        <w:tcBorders>
          <w:insideH w:val="nil"/>
          <w:insideV w:val="nil"/>
        </w:tcBorders>
        <w:shd w:val="clear" w:color="auto" w:fill="E8E5E2" w:themeFill="accent1" w:themeFillTint="3F"/>
      </w:tcPr>
    </w:tblStylePr>
    <w:tblStylePr w:type="band2Horz">
      <w:tblPr/>
      <w:tcPr>
        <w:tcBorders>
          <w:insideH w:val="nil"/>
          <w:insideV w:val="nil"/>
        </w:tcBorders>
      </w:tcPr>
    </w:tblStylePr>
  </w:style>
  <w:style w:type="table" w:customStyle="1" w:styleId="LightList1">
    <w:name w:val="Light List1"/>
    <w:basedOn w:val="TableNormal"/>
    <w:uiPriority w:val="61"/>
    <w:rsid w:val="000D7DA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
    <w:uiPriority w:val="61"/>
    <w:rsid w:val="000D7DAE"/>
    <w:pPr>
      <w:spacing w:after="0" w:line="240" w:lineRule="auto"/>
    </w:pPr>
    <w:tblPr>
      <w:tblStyleRowBandSize w:val="1"/>
      <w:tblStyleColBandSize w:val="1"/>
      <w:tblInd w:w="0" w:type="dxa"/>
      <w:tblBorders>
        <w:top w:val="single" w:sz="8" w:space="0" w:color="A2978A" w:themeColor="accent1"/>
        <w:left w:val="single" w:sz="8" w:space="0" w:color="A2978A" w:themeColor="accent1"/>
        <w:bottom w:val="single" w:sz="8" w:space="0" w:color="A2978A" w:themeColor="accent1"/>
        <w:right w:val="single" w:sz="8" w:space="0" w:color="A297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2978A" w:themeFill="accent1"/>
      </w:tcPr>
    </w:tblStylePr>
    <w:tblStylePr w:type="lastRow">
      <w:pPr>
        <w:spacing w:before="0" w:after="0" w:line="240" w:lineRule="auto"/>
      </w:pPr>
      <w:rPr>
        <w:b/>
        <w:bCs/>
      </w:rPr>
      <w:tblPr/>
      <w:tcPr>
        <w:tcBorders>
          <w:top w:val="double" w:sz="6" w:space="0" w:color="A2978A" w:themeColor="accent1"/>
          <w:left w:val="single" w:sz="8" w:space="0" w:color="A2978A" w:themeColor="accent1"/>
          <w:bottom w:val="single" w:sz="8" w:space="0" w:color="A2978A" w:themeColor="accent1"/>
          <w:right w:val="single" w:sz="8" w:space="0" w:color="A2978A" w:themeColor="accent1"/>
        </w:tcBorders>
      </w:tcPr>
    </w:tblStylePr>
    <w:tblStylePr w:type="firstCol">
      <w:rPr>
        <w:b/>
        <w:bCs/>
      </w:rPr>
    </w:tblStylePr>
    <w:tblStylePr w:type="lastCol">
      <w:rPr>
        <w:b/>
        <w:bCs/>
      </w:rPr>
    </w:tblStylePr>
    <w:tblStylePr w:type="band1Vert">
      <w:tblPr/>
      <w:tcPr>
        <w:tcBorders>
          <w:top w:val="single" w:sz="8" w:space="0" w:color="A2978A" w:themeColor="accent1"/>
          <w:left w:val="single" w:sz="8" w:space="0" w:color="A2978A" w:themeColor="accent1"/>
          <w:bottom w:val="single" w:sz="8" w:space="0" w:color="A2978A" w:themeColor="accent1"/>
          <w:right w:val="single" w:sz="8" w:space="0" w:color="A2978A" w:themeColor="accent1"/>
        </w:tcBorders>
      </w:tcPr>
    </w:tblStylePr>
    <w:tblStylePr w:type="band1Horz">
      <w:tblPr/>
      <w:tcPr>
        <w:tcBorders>
          <w:top w:val="single" w:sz="8" w:space="0" w:color="A2978A" w:themeColor="accent1"/>
          <w:left w:val="single" w:sz="8" w:space="0" w:color="A2978A" w:themeColor="accent1"/>
          <w:bottom w:val="single" w:sz="8" w:space="0" w:color="A2978A" w:themeColor="accent1"/>
          <w:right w:val="single" w:sz="8" w:space="0" w:color="A2978A" w:themeColor="accent1"/>
        </w:tcBorders>
      </w:tcPr>
    </w:tblStylePr>
  </w:style>
  <w:style w:type="paragraph" w:customStyle="1" w:styleId="SectionHeading">
    <w:name w:val="Section Heading"/>
    <w:basedOn w:val="Heading1"/>
    <w:next w:val="BodyText"/>
    <w:uiPriority w:val="12"/>
    <w:qFormat/>
    <w:rsid w:val="0054330C"/>
    <w:pPr>
      <w:pageBreakBefore/>
      <w:framePr w:w="10478" w:wrap="notBeside" w:vAnchor="page" w:hAnchor="margin" w:y="1135"/>
      <w:spacing w:line="720" w:lineRule="exact"/>
    </w:pPr>
    <w:rPr>
      <w:sz w:val="72"/>
    </w:rPr>
  </w:style>
  <w:style w:type="paragraph" w:customStyle="1" w:styleId="Logo">
    <w:name w:val="Logo"/>
    <w:basedOn w:val="Normal"/>
    <w:next w:val="BodyText"/>
    <w:uiPriority w:val="15"/>
    <w:unhideWhenUsed/>
    <w:qFormat/>
    <w:rsid w:val="000B3C73"/>
    <w:pPr>
      <w:spacing w:after="0" w:line="204" w:lineRule="auto"/>
      <w:jc w:val="right"/>
    </w:pPr>
    <w:rPr>
      <w:rFonts w:ascii="PwC_Logo" w:hAnsi="PwC_Logo"/>
      <w:color w:val="00011F" w:themeColor="text2"/>
      <w:sz w:val="48"/>
      <w:szCs w:val="48"/>
    </w:rPr>
  </w:style>
  <w:style w:type="paragraph" w:styleId="ListNumber2">
    <w:name w:val="List Number 2"/>
    <w:basedOn w:val="Normal"/>
    <w:uiPriority w:val="14"/>
    <w:rsid w:val="00ED73E5"/>
    <w:pPr>
      <w:numPr>
        <w:ilvl w:val="1"/>
        <w:numId w:val="15"/>
      </w:numPr>
    </w:pPr>
  </w:style>
  <w:style w:type="paragraph" w:styleId="ListNumber3">
    <w:name w:val="List Number 3"/>
    <w:basedOn w:val="Normal"/>
    <w:uiPriority w:val="14"/>
    <w:rsid w:val="00ED73E5"/>
    <w:pPr>
      <w:numPr>
        <w:ilvl w:val="2"/>
        <w:numId w:val="15"/>
      </w:numPr>
    </w:pPr>
  </w:style>
  <w:style w:type="table" w:customStyle="1" w:styleId="PwCTable1">
    <w:name w:val="PwC Table 1"/>
    <w:basedOn w:val="TableNormal"/>
    <w:uiPriority w:val="99"/>
    <w:qFormat/>
    <w:rsid w:val="007746EB"/>
    <w:pPr>
      <w:spacing w:after="0" w:line="240" w:lineRule="auto"/>
    </w:pPr>
    <w:rPr>
      <w:sz w:val="18"/>
      <w:szCs w:val="22"/>
    </w:rPr>
    <w:tblPr>
      <w:tblStyleRowBandSize w:val="1"/>
      <w:tblInd w:w="0" w:type="dxa"/>
      <w:tblBorders>
        <w:bottom w:val="single" w:sz="4" w:space="0" w:color="A2978A" w:themeColor="accent1"/>
        <w:insideH w:val="single" w:sz="4" w:space="0" w:color="A2978A" w:themeColor="accent1"/>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Theme="majorHAnsi" w:hAnsiTheme="majorHAnsi"/>
        <w:b/>
        <w:color w:val="A2978A" w:themeColor="accent1"/>
        <w:sz w:val="18"/>
      </w:rPr>
      <w:tblPr/>
      <w:tcPr>
        <w:tcBorders>
          <w:top w:val="nil"/>
          <w:left w:val="nil"/>
          <w:bottom w:val="single" w:sz="8" w:space="0" w:color="00011F" w:themeColor="text2"/>
          <w:right w:val="nil"/>
          <w:insideH w:val="nil"/>
          <w:insideV w:val="nil"/>
          <w:tl2br w:val="nil"/>
          <w:tr2bl w:val="nil"/>
        </w:tcBorders>
      </w:tcPr>
    </w:tblStylePr>
    <w:tblStylePr w:type="lastRow">
      <w:tblPr/>
      <w:tcPr>
        <w:tcBorders>
          <w:top w:val="nil"/>
          <w:left w:val="nil"/>
          <w:bottom w:val="single" w:sz="4" w:space="0" w:color="A2978A" w:themeColor="accent1"/>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ED73E5"/>
    <w:pPr>
      <w:numPr>
        <w:numId w:val="11"/>
      </w:numPr>
    </w:pPr>
  </w:style>
  <w:style w:type="numbering" w:customStyle="1" w:styleId="PwCListNumbers1">
    <w:name w:val="PwC List Numbers 1"/>
    <w:uiPriority w:val="99"/>
    <w:rsid w:val="00ED73E5"/>
    <w:pPr>
      <w:numPr>
        <w:numId w:val="15"/>
      </w:numPr>
    </w:pPr>
  </w:style>
  <w:style w:type="paragraph" w:styleId="ListBullet4">
    <w:name w:val="List Bullet 4"/>
    <w:basedOn w:val="Normal"/>
    <w:uiPriority w:val="14"/>
    <w:semiHidden/>
    <w:unhideWhenUsed/>
    <w:rsid w:val="00ED73E5"/>
    <w:pPr>
      <w:numPr>
        <w:ilvl w:val="3"/>
        <w:numId w:val="11"/>
      </w:numPr>
    </w:pPr>
  </w:style>
  <w:style w:type="paragraph" w:styleId="ListContinue">
    <w:name w:val="List Continue"/>
    <w:basedOn w:val="Normal"/>
    <w:uiPriority w:val="14"/>
    <w:unhideWhenUsed/>
    <w:rsid w:val="00EE0C5B"/>
    <w:pPr>
      <w:ind w:left="397"/>
    </w:pPr>
  </w:style>
  <w:style w:type="paragraph" w:styleId="ListContinue2">
    <w:name w:val="List Continue 2"/>
    <w:basedOn w:val="Normal"/>
    <w:uiPriority w:val="14"/>
    <w:unhideWhenUsed/>
    <w:rsid w:val="00EE0C5B"/>
    <w:pPr>
      <w:ind w:left="794"/>
    </w:pPr>
  </w:style>
  <w:style w:type="paragraph" w:styleId="List3">
    <w:name w:val="List 3"/>
    <w:basedOn w:val="Normal"/>
    <w:uiPriority w:val="14"/>
    <w:rsid w:val="00EE0C5B"/>
    <w:pPr>
      <w:ind w:left="1191" w:hanging="397"/>
    </w:pPr>
  </w:style>
  <w:style w:type="paragraph" w:styleId="List4">
    <w:name w:val="List 4"/>
    <w:basedOn w:val="Normal"/>
    <w:uiPriority w:val="14"/>
    <w:semiHidden/>
    <w:unhideWhenUsed/>
    <w:rsid w:val="00EE0C5B"/>
    <w:pPr>
      <w:ind w:left="1588" w:hanging="397"/>
    </w:pPr>
  </w:style>
  <w:style w:type="paragraph" w:styleId="List5">
    <w:name w:val="List 5"/>
    <w:basedOn w:val="Normal"/>
    <w:uiPriority w:val="14"/>
    <w:semiHidden/>
    <w:unhideWhenUsed/>
    <w:rsid w:val="00EE0C5B"/>
    <w:pPr>
      <w:ind w:left="1985" w:hanging="397"/>
    </w:pPr>
  </w:style>
  <w:style w:type="paragraph" w:styleId="ListContinue3">
    <w:name w:val="List Continue 3"/>
    <w:basedOn w:val="Normal"/>
    <w:uiPriority w:val="14"/>
    <w:unhideWhenUsed/>
    <w:rsid w:val="003B26A2"/>
    <w:pPr>
      <w:ind w:left="1191"/>
    </w:pPr>
  </w:style>
  <w:style w:type="paragraph" w:styleId="ListContinue4">
    <w:name w:val="List Continue 4"/>
    <w:basedOn w:val="Normal"/>
    <w:uiPriority w:val="14"/>
    <w:semiHidden/>
    <w:unhideWhenUsed/>
    <w:rsid w:val="003B26A2"/>
    <w:pPr>
      <w:ind w:left="1588"/>
    </w:pPr>
  </w:style>
  <w:style w:type="paragraph" w:styleId="ListContinue5">
    <w:name w:val="List Continue 5"/>
    <w:basedOn w:val="Normal"/>
    <w:uiPriority w:val="14"/>
    <w:semiHidden/>
    <w:unhideWhenUsed/>
    <w:rsid w:val="003B26A2"/>
    <w:pPr>
      <w:ind w:left="1985"/>
    </w:pPr>
  </w:style>
  <w:style w:type="paragraph" w:styleId="ListNumber4">
    <w:name w:val="List Number 4"/>
    <w:basedOn w:val="Normal"/>
    <w:uiPriority w:val="14"/>
    <w:semiHidden/>
    <w:unhideWhenUsed/>
    <w:rsid w:val="00ED73E5"/>
    <w:pPr>
      <w:numPr>
        <w:ilvl w:val="3"/>
        <w:numId w:val="15"/>
      </w:numPr>
    </w:pPr>
  </w:style>
  <w:style w:type="paragraph" w:styleId="ListNumber5">
    <w:name w:val="List Number 5"/>
    <w:basedOn w:val="Normal"/>
    <w:uiPriority w:val="14"/>
    <w:semiHidden/>
    <w:unhideWhenUsed/>
    <w:rsid w:val="00ED73E5"/>
    <w:pPr>
      <w:numPr>
        <w:ilvl w:val="4"/>
        <w:numId w:val="15"/>
      </w:numPr>
    </w:pPr>
  </w:style>
  <w:style w:type="paragraph" w:styleId="ListBullet5">
    <w:name w:val="List Bullet 5"/>
    <w:basedOn w:val="Normal"/>
    <w:uiPriority w:val="14"/>
    <w:semiHidden/>
    <w:unhideWhenUsed/>
    <w:rsid w:val="00ED73E5"/>
    <w:pPr>
      <w:numPr>
        <w:ilvl w:val="4"/>
        <w:numId w:val="11"/>
      </w:numPr>
    </w:pPr>
  </w:style>
  <w:style w:type="paragraph" w:styleId="List2">
    <w:name w:val="List 2"/>
    <w:basedOn w:val="Normal"/>
    <w:uiPriority w:val="14"/>
    <w:rsid w:val="00EE0C5B"/>
    <w:pPr>
      <w:ind w:left="794" w:hanging="397"/>
    </w:pPr>
  </w:style>
  <w:style w:type="paragraph" w:styleId="List">
    <w:name w:val="List"/>
    <w:basedOn w:val="Normal"/>
    <w:uiPriority w:val="14"/>
    <w:rsid w:val="00EE0C5B"/>
    <w:pPr>
      <w:ind w:left="397" w:hanging="397"/>
    </w:pPr>
  </w:style>
  <w:style w:type="paragraph" w:styleId="BalloonText">
    <w:name w:val="Balloon Text"/>
    <w:basedOn w:val="Normal"/>
    <w:link w:val="BalloonTextChar"/>
    <w:uiPriority w:val="99"/>
    <w:semiHidden/>
    <w:unhideWhenUsed/>
    <w:rsid w:val="003A1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590"/>
    <w:rPr>
      <w:rFonts w:ascii="Tahoma" w:hAnsi="Tahoma" w:cs="Tahoma"/>
      <w:sz w:val="16"/>
      <w:szCs w:val="16"/>
    </w:rPr>
  </w:style>
  <w:style w:type="paragraph" w:styleId="FootnoteText">
    <w:name w:val="footnote text"/>
    <w:basedOn w:val="Normal"/>
    <w:link w:val="FootnoteTextChar"/>
    <w:uiPriority w:val="99"/>
    <w:semiHidden/>
    <w:unhideWhenUsed/>
    <w:rsid w:val="00BB1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1F6F"/>
    <w:rPr>
      <w:sz w:val="20"/>
      <w:szCs w:val="20"/>
    </w:rPr>
  </w:style>
  <w:style w:type="character" w:styleId="FootnoteReference">
    <w:name w:val="footnote reference"/>
    <w:basedOn w:val="DefaultParagraphFont"/>
    <w:uiPriority w:val="99"/>
    <w:semiHidden/>
    <w:unhideWhenUsed/>
    <w:rsid w:val="00BB1F6F"/>
    <w:rPr>
      <w:vertAlign w:val="superscript"/>
    </w:rPr>
  </w:style>
  <w:style w:type="character" w:styleId="CommentReference">
    <w:name w:val="annotation reference"/>
    <w:basedOn w:val="DefaultParagraphFont"/>
    <w:uiPriority w:val="99"/>
    <w:semiHidden/>
    <w:unhideWhenUsed/>
    <w:rsid w:val="00BB1F6F"/>
    <w:rPr>
      <w:sz w:val="16"/>
      <w:szCs w:val="16"/>
    </w:rPr>
  </w:style>
  <w:style w:type="paragraph" w:styleId="CommentText">
    <w:name w:val="annotation text"/>
    <w:basedOn w:val="Normal"/>
    <w:link w:val="CommentTextChar"/>
    <w:uiPriority w:val="99"/>
    <w:unhideWhenUsed/>
    <w:rsid w:val="00BB1F6F"/>
    <w:pPr>
      <w:spacing w:line="240" w:lineRule="auto"/>
    </w:pPr>
    <w:rPr>
      <w:sz w:val="20"/>
      <w:szCs w:val="20"/>
    </w:rPr>
  </w:style>
  <w:style w:type="character" w:customStyle="1" w:styleId="CommentTextChar">
    <w:name w:val="Comment Text Char"/>
    <w:basedOn w:val="DefaultParagraphFont"/>
    <w:link w:val="CommentText"/>
    <w:uiPriority w:val="99"/>
    <w:rsid w:val="00BB1F6F"/>
    <w:rPr>
      <w:sz w:val="20"/>
      <w:szCs w:val="20"/>
    </w:rPr>
  </w:style>
  <w:style w:type="paragraph" w:styleId="CommentSubject">
    <w:name w:val="annotation subject"/>
    <w:basedOn w:val="CommentText"/>
    <w:next w:val="CommentText"/>
    <w:link w:val="CommentSubjectChar"/>
    <w:uiPriority w:val="99"/>
    <w:semiHidden/>
    <w:unhideWhenUsed/>
    <w:rsid w:val="00BB1F6F"/>
    <w:rPr>
      <w:b/>
      <w:bCs/>
    </w:rPr>
  </w:style>
  <w:style w:type="character" w:customStyle="1" w:styleId="CommentSubjectChar">
    <w:name w:val="Comment Subject Char"/>
    <w:basedOn w:val="CommentTextChar"/>
    <w:link w:val="CommentSubject"/>
    <w:uiPriority w:val="99"/>
    <w:semiHidden/>
    <w:rsid w:val="00BB1F6F"/>
    <w:rPr>
      <w:b/>
      <w:bCs/>
    </w:rPr>
  </w:style>
  <w:style w:type="paragraph" w:styleId="Revision">
    <w:name w:val="Revision"/>
    <w:hidden/>
    <w:uiPriority w:val="99"/>
    <w:semiHidden/>
    <w:rsid w:val="0083198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PwC Print">
  <a:themeElements>
    <a:clrScheme name="PwC Print Aubergine">
      <a:dk1>
        <a:srgbClr val="000000"/>
      </a:dk1>
      <a:lt1>
        <a:srgbClr val="FFFFFF"/>
      </a:lt1>
      <a:dk2>
        <a:srgbClr val="00011F"/>
      </a:dk2>
      <a:lt2>
        <a:srgbClr val="FFFFFF"/>
      </a:lt2>
      <a:accent1>
        <a:srgbClr val="A2978A"/>
      </a:accent1>
      <a:accent2>
        <a:srgbClr val="AA9F98"/>
      </a:accent2>
      <a:accent3>
        <a:srgbClr val="CCC5C1"/>
      </a:accent3>
      <a:accent4>
        <a:srgbClr val="DDD9D6"/>
      </a:accent4>
      <a:accent5>
        <a:srgbClr val="EEECEA"/>
      </a:accent5>
      <a:accent6>
        <a:srgbClr val="00011F"/>
      </a:accent6>
      <a:hlink>
        <a:srgbClr val="564242"/>
      </a:hlink>
      <a:folHlink>
        <a:srgbClr val="1B1112"/>
      </a:folHlink>
    </a:clrScheme>
    <a:fontScheme name="PwC">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noFill/>
        <a:ln w="9525" cap="flat" cmpd="sng" algn="ctr">
          <a:noFill/>
          <a:prstDash val="solid"/>
          <a:round/>
          <a:headEnd type="none" w="med" len="med"/>
          <a:tailEnd type="none" w="med" len="med"/>
        </a:ln>
        <a:effectLst/>
      </a:spPr>
      <a:bodyPr vert="horz" wrap="square" lIns="63500" tIns="0" rIns="64800" bIns="0" numCol="1" anchor="t" anchorCtr="0" compatLnSpc="1">
        <a:prstTxWarp prst="textNoShape">
          <a:avLst/>
        </a:prstTxWarp>
      </a:bodyPr>
      <a:lstStyle>
        <a:defPPr marL="0" marR="0" indent="0" algn="l" defTabSz="914400" rtl="0" eaLnBrk="1" fontAlgn="base" latinLnBrk="0" hangingPunct="1">
          <a:lnSpc>
            <a:spcPct val="100000"/>
          </a:lnSpc>
          <a:spcBef>
            <a:spcPct val="20000"/>
          </a:spcBef>
          <a:spcAft>
            <a:spcPct val="20000"/>
          </a:spcAft>
          <a:buClrTx/>
          <a:buSzPct val="90000"/>
          <a:buFontTx/>
          <a:buNone/>
          <a:tabLst/>
          <a:defRPr kumimoji="0" lang="en-GB" sz="2000" b="0" i="0" u="none" strike="noStrike" cap="none" normalizeH="0" baseline="0" smtClean="0">
            <a:ln>
              <a:noFill/>
            </a:ln>
            <a:solidFill>
              <a:schemeClr val="bg2"/>
            </a:solidFill>
            <a:effectLst/>
            <a:latin typeface="Arial" charset="0"/>
            <a:cs typeface="Arial" charset="0"/>
          </a:defRPr>
        </a:defPPr>
      </a:lstStyle>
    </a:spDef>
    <a:lnDef>
      <a:spPr bwMode="auto">
        <a:xfrm>
          <a:off x="0" y="0"/>
          <a:ext cx="1" cy="1"/>
        </a:xfrm>
        <a:custGeom>
          <a:avLst/>
          <a:gdLst/>
          <a:ahLst/>
          <a:cxnLst/>
          <a:rect l="0" t="0" r="0" b="0"/>
          <a:pathLst/>
        </a:custGeom>
        <a:noFill/>
        <a:ln w="9525" cap="flat" cmpd="sng" algn="ctr">
          <a:noFill/>
          <a:prstDash val="solid"/>
          <a:round/>
          <a:headEnd type="none" w="med" len="med"/>
          <a:tailEnd type="none" w="med" len="med"/>
        </a:ln>
        <a:effectLst/>
      </a:spPr>
      <a:bodyPr vert="horz" wrap="square" lIns="63500" tIns="0" rIns="64800" bIns="0" numCol="1" anchor="t" anchorCtr="0" compatLnSpc="1">
        <a:prstTxWarp prst="textNoShape">
          <a:avLst/>
        </a:prstTxWarp>
      </a:bodyPr>
      <a:lstStyle>
        <a:defPPr marL="0" marR="0" indent="0" algn="l" defTabSz="914400" rtl="0" eaLnBrk="1" fontAlgn="base" latinLnBrk="0" hangingPunct="1">
          <a:lnSpc>
            <a:spcPct val="100000"/>
          </a:lnSpc>
          <a:spcBef>
            <a:spcPct val="20000"/>
          </a:spcBef>
          <a:spcAft>
            <a:spcPct val="20000"/>
          </a:spcAft>
          <a:buClrTx/>
          <a:buSzPct val="90000"/>
          <a:buFontTx/>
          <a:buNone/>
          <a:tabLst/>
          <a:defRPr kumimoji="0" lang="en-GB" sz="2000" b="0" i="0" u="none" strike="noStrike" cap="none" normalizeH="0" baseline="0" smtClean="0">
            <a:ln>
              <a:noFill/>
            </a:ln>
            <a:solidFill>
              <a:schemeClr val="bg2"/>
            </a:solidFill>
            <a:effectLst/>
            <a:latin typeface="Arial" charset="0"/>
            <a:cs typeface="Arial" charset="0"/>
          </a:defRPr>
        </a:defP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5E1C6-5BAD-486B-A7FD-5369AC5BD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Rosignoli</dc:creator>
  <cp:keywords/>
  <dc:description/>
  <cp:lastModifiedBy>PriceWaterhouseCoopers Spa</cp:lastModifiedBy>
  <cp:revision>3</cp:revision>
  <cp:lastPrinted>2010-04-02T10:57:00Z</cp:lastPrinted>
  <dcterms:created xsi:type="dcterms:W3CDTF">2010-09-02T09:30:00Z</dcterms:created>
  <dcterms:modified xsi:type="dcterms:W3CDTF">2010-09-08T10:07:00Z</dcterms:modified>
</cp:coreProperties>
</file>